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9B4024" w:rsidP="00D05ED9">
      <w:pPr>
        <w:rPr>
          <w:rFonts w:ascii="GillSans-Bold" w:hAnsi="GillSans-Bold"/>
          <w:sz w:val="28"/>
        </w:rPr>
      </w:pPr>
      <w:r>
        <w:rPr>
          <w:rFonts w:ascii="GillSans-Bold" w:hAnsi="GillSans-Bold"/>
          <w:sz w:val="28"/>
        </w:rPr>
        <w:t xml:space="preserve">Das </w:t>
      </w:r>
      <w:proofErr w:type="spellStart"/>
      <w:r>
        <w:rPr>
          <w:rFonts w:ascii="GillSans-Bold" w:hAnsi="GillSans-Bold"/>
          <w:sz w:val="28"/>
        </w:rPr>
        <w:t>Ko’eck</w:t>
      </w:r>
      <w:proofErr w:type="spellEnd"/>
      <w:r>
        <w:rPr>
          <w:rFonts w:ascii="GillSans-Bold" w:hAnsi="GillSans-Bold"/>
          <w:sz w:val="28"/>
        </w:rPr>
        <w:t xml:space="preserve"> – die Panoramabar in </w:t>
      </w:r>
      <w:proofErr w:type="spellStart"/>
      <w:r>
        <w:rPr>
          <w:rFonts w:ascii="GillSans-Bold" w:hAnsi="GillSans-Bold"/>
          <w:sz w:val="28"/>
        </w:rPr>
        <w:t>Mitterbach</w:t>
      </w:r>
      <w:proofErr w:type="spellEnd"/>
    </w:p>
    <w:p w:rsidR="00D05ED9" w:rsidRPr="009B4024" w:rsidRDefault="009B4024" w:rsidP="00CC0B34">
      <w:pPr>
        <w:widowControl w:val="0"/>
        <w:tabs>
          <w:tab w:val="left" w:pos="5401"/>
        </w:tabs>
        <w:ind w:right="-283"/>
        <w:rPr>
          <w:rFonts w:ascii="GillSans" w:hAnsi="GillSans" w:cstheme="minorHAnsi"/>
          <w:color w:val="auto"/>
        </w:rPr>
      </w:pPr>
      <w:r>
        <w:rPr>
          <w:rFonts w:ascii="GillSans-Bold" w:hAnsi="GillSans-Bold"/>
        </w:rPr>
        <w:t>Treppendorf, 10.06</w:t>
      </w:r>
      <w:r w:rsidR="00D05ED9" w:rsidRPr="00D05ED9">
        <w:rPr>
          <w:rFonts w:ascii="GillSans-Bold" w:hAnsi="GillSans-Bold"/>
        </w:rPr>
        <w:t>.2015:</w:t>
      </w:r>
      <w:r w:rsidR="00D05ED9" w:rsidRPr="00787037">
        <w:rPr>
          <w:rFonts w:ascii="GillSans" w:hAnsi="GillSans"/>
        </w:rPr>
        <w:t xml:space="preserve"> </w:t>
      </w:r>
      <w:r w:rsidRPr="009B4024">
        <w:rPr>
          <w:rFonts w:ascii="GillSans" w:hAnsi="GillSans" w:cs="Arial"/>
        </w:rPr>
        <w:t xml:space="preserve">Das Team von </w:t>
      </w:r>
      <w:proofErr w:type="spellStart"/>
      <w:r w:rsidRPr="009B4024">
        <w:rPr>
          <w:rFonts w:ascii="GillSans" w:hAnsi="GillSans" w:cs="Arial"/>
        </w:rPr>
        <w:t>t</w:t>
      </w:r>
      <w:r w:rsidRPr="009B4024">
        <w:rPr>
          <w:rFonts w:ascii="GillSans" w:hAnsi="GillSans" w:cs="Arial"/>
          <w:color w:val="auto"/>
        </w:rPr>
        <w:t>homann</w:t>
      </w:r>
      <w:proofErr w:type="spellEnd"/>
      <w:r w:rsidRPr="009B4024">
        <w:rPr>
          <w:rFonts w:ascii="GillSans" w:hAnsi="GillSans" w:cs="Arial"/>
          <w:color w:val="auto"/>
        </w:rPr>
        <w:t xml:space="preserve"> Audio Professional wurde mit der Umsetzung des audio-visuellen Konzepts der Panoramabar – das </w:t>
      </w:r>
      <w:proofErr w:type="spellStart"/>
      <w:r w:rsidRPr="009B4024">
        <w:rPr>
          <w:rFonts w:ascii="GillSans" w:hAnsi="GillSans" w:cs="Arial"/>
          <w:color w:val="auto"/>
        </w:rPr>
        <w:t>Ko’eck</w:t>
      </w:r>
      <w:proofErr w:type="spellEnd"/>
      <w:r w:rsidRPr="009B4024">
        <w:rPr>
          <w:rFonts w:ascii="GillSans" w:hAnsi="GillSans" w:cs="Arial"/>
          <w:color w:val="auto"/>
        </w:rPr>
        <w:t xml:space="preserve"> in </w:t>
      </w:r>
      <w:proofErr w:type="spellStart"/>
      <w:r w:rsidRPr="009B4024">
        <w:rPr>
          <w:rFonts w:ascii="GillSans" w:hAnsi="GillSans" w:cs="Arial"/>
          <w:color w:val="auto"/>
        </w:rPr>
        <w:t>Mitterbach</w:t>
      </w:r>
      <w:proofErr w:type="spellEnd"/>
      <w:r w:rsidRPr="009B4024">
        <w:rPr>
          <w:rFonts w:ascii="GillSans" w:hAnsi="GillSans" w:cs="Arial"/>
          <w:color w:val="auto"/>
        </w:rPr>
        <w:t xml:space="preserve"> beauftragt. Eine ebenso schöne wie anspruchsvolle Aufgabe. „Bei uns bleibt der Alltag draußen vor der Tür!", verspricht das </w:t>
      </w:r>
      <w:proofErr w:type="spellStart"/>
      <w:r w:rsidRPr="009B4024">
        <w:rPr>
          <w:rFonts w:ascii="GillSans" w:hAnsi="GillSans" w:cs="Arial"/>
          <w:color w:val="auto"/>
        </w:rPr>
        <w:t>Ko'eck</w:t>
      </w:r>
      <w:proofErr w:type="spellEnd"/>
      <w:r w:rsidRPr="009B4024">
        <w:rPr>
          <w:rFonts w:ascii="GillSans" w:hAnsi="GillSans" w:cs="Arial"/>
          <w:color w:val="auto"/>
        </w:rPr>
        <w:t xml:space="preserve"> seinen Besuchern im österreichischen </w:t>
      </w:r>
      <w:proofErr w:type="spellStart"/>
      <w:r w:rsidRPr="009B4024">
        <w:rPr>
          <w:rFonts w:ascii="GillSans" w:hAnsi="GillSans" w:cs="Arial"/>
          <w:color w:val="auto"/>
        </w:rPr>
        <w:t>Mitterbach</w:t>
      </w:r>
      <w:proofErr w:type="spellEnd"/>
      <w:r w:rsidRPr="009B4024">
        <w:rPr>
          <w:rFonts w:ascii="GillSans" w:hAnsi="GillSans" w:cs="Arial"/>
          <w:color w:val="auto"/>
        </w:rPr>
        <w:t xml:space="preserve">. Dort, am </w:t>
      </w:r>
      <w:proofErr w:type="spellStart"/>
      <w:r w:rsidRPr="009B4024">
        <w:rPr>
          <w:rFonts w:ascii="GillSans" w:hAnsi="GillSans" w:cs="Arial"/>
          <w:color w:val="auto"/>
        </w:rPr>
        <w:t>Erlaufsee</w:t>
      </w:r>
      <w:proofErr w:type="spellEnd"/>
      <w:r w:rsidRPr="009B4024">
        <w:rPr>
          <w:rFonts w:ascii="GillSans" w:hAnsi="GillSans" w:cs="Arial"/>
          <w:color w:val="auto"/>
        </w:rPr>
        <w:t xml:space="preserve"> im Herzen des </w:t>
      </w:r>
      <w:proofErr w:type="spellStart"/>
      <w:r w:rsidRPr="009B4024">
        <w:rPr>
          <w:rFonts w:ascii="GillSans" w:hAnsi="GillSans" w:cs="Arial"/>
          <w:color w:val="auto"/>
        </w:rPr>
        <w:t>Mariazellerlands</w:t>
      </w:r>
      <w:proofErr w:type="spellEnd"/>
      <w:r w:rsidRPr="009B4024">
        <w:rPr>
          <w:rFonts w:ascii="GillSans" w:hAnsi="GillSans" w:cs="Arial"/>
          <w:color w:val="auto"/>
        </w:rPr>
        <w:t>, haben die Betreiber auf zwei Etagen in architektonisch spannendem Ambiente eine stilvolle Kombination aus Panorama-Bar, Lounge und rauchertauglicher Ter</w:t>
      </w:r>
      <w:r w:rsidRPr="009B4024">
        <w:rPr>
          <w:rFonts w:ascii="GillSans" w:hAnsi="GillSans" w:cs="Arial"/>
        </w:rPr>
        <w:t>rasse geschaffen.</w:t>
      </w:r>
    </w:p>
    <w:p w:rsidR="009B4024" w:rsidRPr="009B4024" w:rsidRDefault="009B4024" w:rsidP="009B4024">
      <w:pPr>
        <w:rPr>
          <w:rFonts w:ascii="GillSans" w:hAnsi="GillSans" w:cs="Arial"/>
          <w:color w:val="auto"/>
        </w:rPr>
      </w:pPr>
      <w:r w:rsidRPr="009B4024">
        <w:rPr>
          <w:rFonts w:ascii="GillSans" w:hAnsi="GillSans" w:cs="Arial"/>
          <w:color w:val="auto"/>
        </w:rPr>
        <w:t xml:space="preserve">Für die Installation wurden zunächst zwei Zentralen eingerichtet. Die Hauptzentrale im Erdgeschoss versorgt die Außenareale, Sanitärräume sowie den unteren </w:t>
      </w:r>
      <w:proofErr w:type="spellStart"/>
      <w:r w:rsidRPr="009B4024">
        <w:rPr>
          <w:rFonts w:ascii="GillSans" w:hAnsi="GillSans" w:cs="Arial"/>
          <w:color w:val="auto"/>
        </w:rPr>
        <w:t>Gastrobereich</w:t>
      </w:r>
      <w:proofErr w:type="spellEnd"/>
      <w:r w:rsidRPr="009B4024">
        <w:rPr>
          <w:rFonts w:ascii="GillSans" w:hAnsi="GillSans" w:cs="Arial"/>
          <w:color w:val="auto"/>
        </w:rPr>
        <w:t xml:space="preserve"> mit Musik. Zentrale Nummer zwei ist für die Lounge zuständig, die sich separat für Veranstaltungen mieten und entsprechend autark betreiben lässt.</w:t>
      </w:r>
    </w:p>
    <w:p w:rsidR="009B4024" w:rsidRPr="009B4024" w:rsidRDefault="009B4024" w:rsidP="009B4024">
      <w:pPr>
        <w:rPr>
          <w:rFonts w:ascii="GillSans" w:hAnsi="GillSans" w:cs="Arial"/>
          <w:color w:val="auto"/>
        </w:rPr>
      </w:pPr>
      <w:r w:rsidRPr="009B4024">
        <w:rPr>
          <w:rFonts w:ascii="GillSans" w:hAnsi="GillSans" w:cs="Arial"/>
          <w:color w:val="auto"/>
        </w:rPr>
        <w:t xml:space="preserve">In der Hauptzentrale verwaltet eine MTX3 von Yamaha die </w:t>
      </w:r>
      <w:proofErr w:type="spellStart"/>
      <w:r w:rsidRPr="009B4024">
        <w:rPr>
          <w:rFonts w:ascii="GillSans" w:hAnsi="GillSans" w:cs="Arial"/>
          <w:color w:val="auto"/>
        </w:rPr>
        <w:t>Audiostreams</w:t>
      </w:r>
      <w:proofErr w:type="spellEnd"/>
      <w:r w:rsidRPr="009B4024">
        <w:rPr>
          <w:rFonts w:ascii="GillSans" w:hAnsi="GillSans" w:cs="Arial"/>
          <w:color w:val="auto"/>
        </w:rPr>
        <w:t>, Endstufen vom Typ XMV-4140 und XMV-4280 sorgen für die nötige 100-V-Leistung. Die Lautsprecher von Kling &amp; Freitag - dazu gleich mehr -  werden von LAB Gruppen IPD2400 angetrieben. Die obere Zentrale ist in Hinsicht auf möglichst geräuscharmen Betrieb sparsam bestückt. Hier verrichtet ein kleiner 19“-Mixer von Apart (PM7400) seinen Dienst, der für das Funkmikrofon und die Line-Quellen zuständig ist und deren Signale dann zwecks Leistungsverstärkung symmetrisch in die Hauptzentrale zu den Endstufen schickt. Bei Bedarf lässt sich auch das Audioprogramm der Bar in die Lounge routen.</w:t>
      </w:r>
    </w:p>
    <w:p w:rsidR="009B4024" w:rsidRPr="009B4024" w:rsidRDefault="009B4024" w:rsidP="009B4024">
      <w:pPr>
        <w:rPr>
          <w:rFonts w:ascii="GillSans" w:hAnsi="GillSans" w:cs="Arial"/>
          <w:color w:val="auto"/>
        </w:rPr>
      </w:pPr>
      <w:r w:rsidRPr="009B4024">
        <w:rPr>
          <w:rFonts w:ascii="GillSans" w:hAnsi="GillSans" w:cs="Arial"/>
          <w:color w:val="auto"/>
        </w:rPr>
        <w:t xml:space="preserve">Eine kleine Herausforderung stellte das Lautsprecher-Setup in der Bar dar. Der Auftraggeber wollte gerne das Halbrund der Barfläche voll ausnutzen. Projektleiter Florian Neumann entschied sich daher, die Sona 6 von Kling &amp; Freitag mit </w:t>
      </w:r>
      <w:proofErr w:type="spellStart"/>
      <w:r w:rsidRPr="009B4024">
        <w:rPr>
          <w:rFonts w:ascii="GillSans" w:hAnsi="GillSans" w:cs="Arial"/>
          <w:color w:val="auto"/>
        </w:rPr>
        <w:t>Halfcouplern</w:t>
      </w:r>
      <w:proofErr w:type="spellEnd"/>
      <w:r w:rsidRPr="009B4024">
        <w:rPr>
          <w:rFonts w:ascii="GillSans" w:hAnsi="GillSans" w:cs="Arial"/>
          <w:color w:val="auto"/>
        </w:rPr>
        <w:t xml:space="preserve"> an einem Stahlrohr zu befestigen. Durch anschließende, sorgfältige Neigung gelang schließlich ein ausgeglichener und guter Sound. Für souveräne Basswiedergabe sorgen drei Stück Sona Sub II, die unmittelbar in die Bar integriert wurden. Das Delay für den restlichen Bar-Bereich erzielte Herr Florian Neumann mit hochwertigen JBL-Deckenlautsprechern (Control 47 LP), die auch oben in der Lounge für den guten Ton sorgen.</w:t>
      </w:r>
    </w:p>
    <w:p w:rsidR="009B4024" w:rsidRPr="009B4024" w:rsidRDefault="009B4024" w:rsidP="009B4024">
      <w:pPr>
        <w:rPr>
          <w:rFonts w:ascii="GillSans" w:hAnsi="GillSans" w:cs="Arial"/>
          <w:color w:val="auto"/>
        </w:rPr>
      </w:pPr>
      <w:r w:rsidRPr="009B4024">
        <w:rPr>
          <w:rFonts w:ascii="GillSans" w:hAnsi="GillSans" w:cs="Arial"/>
          <w:color w:val="auto"/>
        </w:rPr>
        <w:t>Die Betreiber baten ferner um den Einbau einer hochwert</w:t>
      </w:r>
      <w:r w:rsidRPr="009B4024">
        <w:rPr>
          <w:rFonts w:ascii="GillSans" w:hAnsi="GillSans" w:cs="Arial"/>
        </w:rPr>
        <w:t xml:space="preserve">igen Lichtanlage. Das Team von </w:t>
      </w:r>
      <w:proofErr w:type="spellStart"/>
      <w:r w:rsidRPr="009B4024">
        <w:rPr>
          <w:rFonts w:ascii="GillSans" w:hAnsi="GillSans" w:cs="Arial"/>
        </w:rPr>
        <w:t>t</w:t>
      </w:r>
      <w:r w:rsidRPr="009B4024">
        <w:rPr>
          <w:rFonts w:ascii="GillSans" w:hAnsi="GillSans" w:cs="Arial"/>
          <w:color w:val="auto"/>
        </w:rPr>
        <w:t>homann</w:t>
      </w:r>
      <w:proofErr w:type="spellEnd"/>
      <w:r w:rsidRPr="009B4024">
        <w:rPr>
          <w:rFonts w:ascii="GillSans" w:hAnsi="GillSans" w:cs="Arial"/>
          <w:color w:val="auto"/>
        </w:rPr>
        <w:t xml:space="preserve"> Audio Professionell entschied sich daher für sieben Mac 101 von Martin. Diese superschnellen </w:t>
      </w:r>
      <w:proofErr w:type="spellStart"/>
      <w:r w:rsidRPr="009B4024">
        <w:rPr>
          <w:rFonts w:ascii="GillSans" w:hAnsi="GillSans" w:cs="Arial"/>
          <w:color w:val="auto"/>
        </w:rPr>
        <w:t>Moving</w:t>
      </w:r>
      <w:proofErr w:type="spellEnd"/>
      <w:r w:rsidRPr="009B4024">
        <w:rPr>
          <w:rFonts w:ascii="GillSans" w:hAnsi="GillSans" w:cs="Arial"/>
          <w:color w:val="auto"/>
        </w:rPr>
        <w:t xml:space="preserve"> Heads sind mit hocheffizienten LEDs ausgestattet und erlauben echte </w:t>
      </w:r>
      <w:proofErr w:type="spellStart"/>
      <w:r w:rsidRPr="009B4024">
        <w:rPr>
          <w:rFonts w:ascii="GillSans" w:hAnsi="GillSans" w:cs="Arial"/>
          <w:color w:val="auto"/>
        </w:rPr>
        <w:t>Farbkalibrierung</w:t>
      </w:r>
      <w:proofErr w:type="spellEnd"/>
      <w:r w:rsidRPr="009B4024">
        <w:rPr>
          <w:rFonts w:ascii="GillSans" w:hAnsi="GillSans" w:cs="Arial"/>
          <w:color w:val="auto"/>
        </w:rPr>
        <w:t xml:space="preserve">. Zur Steuerung dient eine </w:t>
      </w:r>
      <w:proofErr w:type="spellStart"/>
      <w:r w:rsidRPr="009B4024">
        <w:rPr>
          <w:rFonts w:ascii="GillSans" w:hAnsi="GillSans" w:cs="Arial"/>
          <w:color w:val="auto"/>
        </w:rPr>
        <w:t>Stairville</w:t>
      </w:r>
      <w:proofErr w:type="spellEnd"/>
      <w:r w:rsidRPr="009B4024">
        <w:rPr>
          <w:rFonts w:ascii="GillSans" w:hAnsi="GillSans" w:cs="Arial"/>
          <w:color w:val="auto"/>
        </w:rPr>
        <w:t xml:space="preserve"> DMX-Tastensteuerung, dank der auch neue Lichtstimmungen unkompliziert programmiert und abgerufen werden können.</w:t>
      </w:r>
    </w:p>
    <w:p w:rsidR="009B4024" w:rsidRPr="009B4024" w:rsidRDefault="009B4024" w:rsidP="009B4024">
      <w:pPr>
        <w:rPr>
          <w:rFonts w:ascii="GillSans" w:hAnsi="GillSans" w:cs="Arial"/>
          <w:color w:val="auto"/>
        </w:rPr>
      </w:pPr>
      <w:r w:rsidRPr="009B4024">
        <w:rPr>
          <w:rFonts w:ascii="GillSans" w:hAnsi="GillSans" w:cs="Arial"/>
          <w:color w:val="auto"/>
        </w:rPr>
        <w:t xml:space="preserve">„Die Anlage ist ein akustischer Leckerbissen und passt wunderbar zum gehobenen Ambiente und Anspruch </w:t>
      </w:r>
      <w:r w:rsidR="00053F95">
        <w:rPr>
          <w:rFonts w:ascii="GillSans" w:hAnsi="GillSans" w:cs="Arial"/>
          <w:color w:val="auto"/>
        </w:rPr>
        <w:t>der Panoramabar</w:t>
      </w:r>
      <w:r w:rsidRPr="009B4024">
        <w:rPr>
          <w:rFonts w:ascii="GillSans" w:hAnsi="GillSans" w:cs="Arial"/>
          <w:color w:val="auto"/>
        </w:rPr>
        <w:t xml:space="preserve">“, freut sich </w:t>
      </w:r>
      <w:r w:rsidR="00053F95">
        <w:rPr>
          <w:rFonts w:ascii="GillSans" w:hAnsi="GillSans" w:cs="Arial"/>
          <w:color w:val="auto"/>
        </w:rPr>
        <w:t xml:space="preserve">Florian Neumann, Projektleiter bei </w:t>
      </w:r>
      <w:proofErr w:type="spellStart"/>
      <w:r w:rsidR="00053F95">
        <w:rPr>
          <w:rFonts w:ascii="GillSans" w:hAnsi="GillSans" w:cs="Arial"/>
          <w:color w:val="auto"/>
        </w:rPr>
        <w:t>thomann</w:t>
      </w:r>
      <w:proofErr w:type="spellEnd"/>
      <w:r w:rsidR="00053F95">
        <w:rPr>
          <w:rFonts w:ascii="GillSans" w:hAnsi="GillSans" w:cs="Arial"/>
          <w:color w:val="auto"/>
        </w:rPr>
        <w:t xml:space="preserve"> Audio Professionell. </w:t>
      </w:r>
      <w:r w:rsidRPr="009B4024">
        <w:rPr>
          <w:rFonts w:ascii="GillSans" w:hAnsi="GillSans" w:cs="Arial"/>
          <w:color w:val="auto"/>
        </w:rPr>
        <w:t>„Der DJ hat ausreichend Bassfundament, u</w:t>
      </w:r>
      <w:bookmarkStart w:id="0" w:name="_GoBack"/>
      <w:bookmarkEnd w:id="0"/>
      <w:r w:rsidRPr="009B4024">
        <w:rPr>
          <w:rFonts w:ascii="GillSans" w:hAnsi="GillSans" w:cs="Arial"/>
          <w:color w:val="auto"/>
        </w:rPr>
        <w:t xml:space="preserve">m auch mal etwas lauter auflegen zu können, die Gäste im oberen </w:t>
      </w:r>
      <w:proofErr w:type="spellStart"/>
      <w:r w:rsidRPr="009B4024">
        <w:rPr>
          <w:rFonts w:ascii="GillSans" w:hAnsi="GillSans" w:cs="Arial"/>
          <w:color w:val="auto"/>
        </w:rPr>
        <w:t>Loungebereich</w:t>
      </w:r>
      <w:proofErr w:type="spellEnd"/>
      <w:r w:rsidRPr="009B4024">
        <w:rPr>
          <w:rFonts w:ascii="GillSans" w:hAnsi="GillSans" w:cs="Arial"/>
          <w:color w:val="auto"/>
        </w:rPr>
        <w:t xml:space="preserve"> werden davon aber nicht zu stark beeinflusst.</w:t>
      </w:r>
      <w:r w:rsidR="00053F95">
        <w:rPr>
          <w:rFonts w:ascii="GillSans" w:hAnsi="GillSans" w:cs="Arial"/>
          <w:color w:val="auto"/>
        </w:rPr>
        <w:t>.</w:t>
      </w:r>
      <w:r w:rsidRPr="009B4024">
        <w:rPr>
          <w:rFonts w:ascii="GillSans" w:hAnsi="GillSans" w:cs="Arial"/>
          <w:color w:val="auto"/>
        </w:rPr>
        <w:t xml:space="preserve"> Dank toller Vorbereitung, auch durch die Elektriker vor Ort, konnten wir die gesamte Installation in nur drei </w:t>
      </w:r>
      <w:r w:rsidRPr="009B4024">
        <w:rPr>
          <w:rFonts w:ascii="GillSans" w:hAnsi="GillSans" w:cs="Arial"/>
          <w:color w:val="auto"/>
        </w:rPr>
        <w:lastRenderedPageBreak/>
        <w:t>Tagen einbauen und einmessen. Das Ergebnis kann sich wirklich sehen und hören lassen</w:t>
      </w:r>
      <w:r w:rsidR="00053F95">
        <w:rPr>
          <w:rFonts w:ascii="GillSans" w:hAnsi="GillSans" w:cs="Arial"/>
          <w:color w:val="auto"/>
        </w:rPr>
        <w:t xml:space="preserve">“, so Florian Neumann, Projektleiter bei </w:t>
      </w:r>
      <w:proofErr w:type="spellStart"/>
      <w:r w:rsidR="00053F95">
        <w:rPr>
          <w:rFonts w:ascii="GillSans" w:hAnsi="GillSans" w:cs="Arial"/>
          <w:color w:val="auto"/>
        </w:rPr>
        <w:t>thomann</w:t>
      </w:r>
      <w:proofErr w:type="spellEnd"/>
      <w:r w:rsidR="00053F95">
        <w:rPr>
          <w:rFonts w:ascii="GillSans" w:hAnsi="GillSans" w:cs="Arial"/>
          <w:color w:val="auto"/>
        </w:rPr>
        <w:t xml:space="preserve"> Audio Professionell.</w:t>
      </w:r>
    </w:p>
    <w:p w:rsidR="006C1023" w:rsidRPr="006C1023" w:rsidRDefault="006C1023" w:rsidP="006C1023">
      <w:pPr>
        <w:rPr>
          <w:rFonts w:ascii="GillSans" w:hAnsi="GillSans" w:cs="Arial"/>
        </w:rPr>
      </w:pPr>
    </w:p>
    <w:p w:rsidR="005E5241" w:rsidRPr="000B4F7E" w:rsidRDefault="003107EC" w:rsidP="005E5241">
      <w:pPr>
        <w:rPr>
          <w:rFonts w:ascii="GillSans-Bold" w:hAnsi="GillSans-Bold"/>
        </w:rPr>
      </w:pPr>
      <w:r>
        <w:rPr>
          <w:rFonts w:ascii="GillSans-Bold" w:hAnsi="GillSans-Bold"/>
        </w:rPr>
        <w:t>Über t</w:t>
      </w:r>
      <w:r w:rsidR="005E5241" w:rsidRPr="000B4F7E">
        <w:rPr>
          <w:rFonts w:ascii="GillSans-Bold" w:hAnsi="GillSans-Bold"/>
        </w:rPr>
        <w:t>homann Audio Professionell:</w:t>
      </w:r>
    </w:p>
    <w:p w:rsidR="005E5241" w:rsidRDefault="005E5241" w:rsidP="005E5241">
      <w:pPr>
        <w:rPr>
          <w:rFonts w:ascii="GillSans" w:hAnsi="GillSans"/>
        </w:rPr>
      </w:pPr>
      <w:r w:rsidRPr="000B4F7E">
        <w:rPr>
          <w:rFonts w:ascii="GillSans" w:hAnsi="GillSans"/>
        </w:rPr>
        <w:t>Seit über 15 Jahren ist das Systemhaus 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 xml:space="preserve">sowie den Vertrieb und die Installation der dafür erforderlichen Produkte und natürlich die Dokumentation und die Wartung der Anlagen zur Gewährleistung eines sicheren Betriebsablaufs. Zu den Kunden von </w:t>
      </w:r>
      <w:proofErr w:type="spellStart"/>
      <w:r w:rsidR="003107EC">
        <w:rPr>
          <w:rFonts w:ascii="GillSans" w:hAnsi="GillSans"/>
        </w:rPr>
        <w:t>t</w:t>
      </w:r>
      <w:r w:rsidRPr="000B4F7E">
        <w:rPr>
          <w:rFonts w:ascii="GillSans" w:hAnsi="GillSans"/>
        </w:rPr>
        <w:t>homann</w:t>
      </w:r>
      <w:proofErr w:type="spellEnd"/>
      <w:r w:rsidRPr="000B4F7E">
        <w:rPr>
          <w:rFonts w:ascii="GillSans" w:hAnsi="GillSans"/>
        </w:rPr>
        <w:t xml:space="preserve">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Pr="000B4F7E">
        <w:rPr>
          <w:rFonts w:ascii="GillSans" w:eastAsia="Times New Roman" w:hAnsi="GillSans" w:cs="Times New Roman"/>
          <w:szCs w:val="20"/>
          <w:lang w:eastAsia="de-DE"/>
        </w:rPr>
        <w:t xml:space="preserve">Musikhaus Thomann </w:t>
      </w:r>
      <w:proofErr w:type="spellStart"/>
      <w:r w:rsidRPr="000B4F7E">
        <w:rPr>
          <w:rFonts w:ascii="GillSans" w:eastAsia="Times New Roman" w:hAnsi="GillSans" w:cs="Times New Roman"/>
          <w:szCs w:val="20"/>
          <w:lang w:eastAsia="de-DE"/>
        </w:rPr>
        <w:t>e.K</w:t>
      </w:r>
      <w:proofErr w:type="spellEnd"/>
      <w:r w:rsidRPr="000B4F7E">
        <w:rPr>
          <w:rFonts w:ascii="GillSans" w:eastAsia="Times New Roman" w:hAnsi="GillSans" w:cs="Times New Roman"/>
          <w:szCs w:val="20"/>
          <w:lang w:eastAsia="de-DE"/>
        </w:rPr>
        <w:t>.</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Default="004E52B8">
      <w:pPr>
        <w:rPr>
          <w:rFonts w:ascii="GillSans" w:hAnsi="GillSans"/>
        </w:rPr>
      </w:pPr>
      <w:r>
        <w:rPr>
          <w:rFonts w:ascii="GillSans" w:hAnsi="GillSans"/>
        </w:rPr>
        <w:t xml:space="preserve">Anhang: </w:t>
      </w:r>
    </w:p>
    <w:p w:rsidR="009258CD" w:rsidRDefault="00053F95" w:rsidP="009258CD">
      <w:pPr>
        <w:rPr>
          <w:rFonts w:ascii="GillSans" w:hAnsi="GillSans"/>
        </w:rPr>
      </w:pPr>
      <w:r>
        <w:rPr>
          <w:rFonts w:ascii="GillSans" w:hAnsi="GillSans"/>
        </w:rPr>
        <w:t>Panoramabar</w:t>
      </w:r>
      <w:r w:rsidR="007D2EF8">
        <w:rPr>
          <w:rFonts w:ascii="GillSans" w:hAnsi="GillSans"/>
        </w:rPr>
        <w:t>-Das Koeck_01</w:t>
      </w:r>
      <w:r w:rsidR="0062620A">
        <w:rPr>
          <w:rFonts w:ascii="GillSans" w:hAnsi="GillSans"/>
        </w:rPr>
        <w:t>.jpg</w:t>
      </w:r>
      <w:r w:rsidR="007D2EF8">
        <w:rPr>
          <w:rFonts w:ascii="GillSans" w:hAnsi="GillSans"/>
        </w:rPr>
        <w:br/>
        <w:t>Panoramabar-Das Koeck_02.jpg</w:t>
      </w:r>
      <w:r w:rsidR="009258CD">
        <w:rPr>
          <w:rFonts w:ascii="GillSans" w:hAnsi="GillSans"/>
        </w:rPr>
        <w:br/>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5C0" w:rsidRDefault="002D35C0">
      <w:r>
        <w:separator/>
      </w:r>
    </w:p>
  </w:endnote>
  <w:endnote w:type="continuationSeparator" w:id="0">
    <w:p w:rsidR="002D35C0" w:rsidRDefault="002D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Bold">
    <w:panose1 w:val="00000000000000000000"/>
    <w:charset w:val="00"/>
    <w:family w:val="auto"/>
    <w:pitch w:val="variable"/>
    <w:sig w:usb0="00000087" w:usb1="00000000" w:usb2="00000000" w:usb3="00000000" w:csb0="0000001B" w:csb1="00000000"/>
  </w:font>
  <w:font w:name="GillSans">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001364" w:rsidP="000B4F7E">
    <w:pPr>
      <w:rPr>
        <w:rFonts w:ascii="GillSans-Bold" w:hAnsi="GillSans-Bold" w:cs="Arial"/>
        <w:sz w:val="18"/>
        <w:szCs w:val="20"/>
      </w:rPr>
    </w:pPr>
    <w:r w:rsidRPr="00001364">
      <w:rPr>
        <w:rFonts w:ascii="GillSans-Bold" w:hAnsi="GillSans-Bold"/>
        <w:sz w:val="18"/>
        <w:szCs w:val="18"/>
      </w:rPr>
      <w:t xml:space="preserve">Das </w:t>
    </w:r>
    <w:proofErr w:type="spellStart"/>
    <w:r w:rsidRPr="00001364">
      <w:rPr>
        <w:rFonts w:ascii="GillSans-Bold" w:hAnsi="GillSans-Bold"/>
        <w:sz w:val="18"/>
        <w:szCs w:val="18"/>
      </w:rPr>
      <w:t>Ko’eck</w:t>
    </w:r>
    <w:proofErr w:type="spellEnd"/>
    <w:r w:rsidRPr="00001364">
      <w:rPr>
        <w:rFonts w:ascii="GillSans-Bold" w:hAnsi="GillSans-Bold"/>
        <w:sz w:val="18"/>
        <w:szCs w:val="18"/>
      </w:rPr>
      <w:t xml:space="preserve"> – die Panoramabar in </w:t>
    </w:r>
    <w:proofErr w:type="spellStart"/>
    <w:r w:rsidRPr="00001364">
      <w:rPr>
        <w:rFonts w:ascii="GillSans-Bold" w:hAnsi="GillSans-Bold"/>
        <w:sz w:val="18"/>
        <w:szCs w:val="18"/>
      </w:rPr>
      <w:t>Mitterbach</w:t>
    </w:r>
    <w:proofErr w:type="spellEnd"/>
    <w:r w:rsidR="0062620A" w:rsidRPr="00001364">
      <w:rPr>
        <w:rFonts w:ascii="GillSans-Bold" w:hAnsi="GillSans-Bold" w:cs="Arial"/>
        <w:sz w:val="18"/>
        <w:szCs w:val="18"/>
      </w:rPr>
      <w:tab/>
    </w:r>
    <w:r w:rsidR="0062620A">
      <w:rPr>
        <w:rFonts w:ascii="GillSans-Bold" w:hAnsi="GillSans-Bold" w:cs="Arial"/>
        <w:sz w:val="18"/>
        <w:szCs w:val="20"/>
      </w:rPr>
      <w:tab/>
    </w:r>
    <w:r w:rsidR="0062620A">
      <w:rPr>
        <w:rFonts w:ascii="GillSans-Bold" w:hAnsi="GillSans-Bold" w:cs="Arial"/>
        <w:sz w:val="18"/>
        <w:szCs w:val="20"/>
      </w:rPr>
      <w:tab/>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5C0" w:rsidRDefault="002D35C0">
      <w:r>
        <w:separator/>
      </w:r>
    </w:p>
  </w:footnote>
  <w:footnote w:type="continuationSeparator" w:id="0">
    <w:p w:rsidR="002D35C0" w:rsidRDefault="002D3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01364"/>
    <w:rsid w:val="000113C2"/>
    <w:rsid w:val="00053F95"/>
    <w:rsid w:val="00065C86"/>
    <w:rsid w:val="000B4F7E"/>
    <w:rsid w:val="000F3FEC"/>
    <w:rsid w:val="00132AAA"/>
    <w:rsid w:val="00160FF1"/>
    <w:rsid w:val="00192604"/>
    <w:rsid w:val="001D665E"/>
    <w:rsid w:val="002031A7"/>
    <w:rsid w:val="00254E6A"/>
    <w:rsid w:val="002B3BB6"/>
    <w:rsid w:val="002D35C0"/>
    <w:rsid w:val="003107EC"/>
    <w:rsid w:val="003433B6"/>
    <w:rsid w:val="00413F3F"/>
    <w:rsid w:val="004E52B8"/>
    <w:rsid w:val="0050638A"/>
    <w:rsid w:val="005C5D58"/>
    <w:rsid w:val="005D1DB3"/>
    <w:rsid w:val="005E5241"/>
    <w:rsid w:val="00620DAA"/>
    <w:rsid w:val="00622D98"/>
    <w:rsid w:val="0062620A"/>
    <w:rsid w:val="00644DAD"/>
    <w:rsid w:val="006532B1"/>
    <w:rsid w:val="00673DC1"/>
    <w:rsid w:val="00680352"/>
    <w:rsid w:val="00691B0D"/>
    <w:rsid w:val="00693C7D"/>
    <w:rsid w:val="006A1818"/>
    <w:rsid w:val="006A4537"/>
    <w:rsid w:val="006C1023"/>
    <w:rsid w:val="00771BDA"/>
    <w:rsid w:val="0079736C"/>
    <w:rsid w:val="007D2EF8"/>
    <w:rsid w:val="007F2E66"/>
    <w:rsid w:val="00854B8D"/>
    <w:rsid w:val="009258CD"/>
    <w:rsid w:val="009556BB"/>
    <w:rsid w:val="00957B27"/>
    <w:rsid w:val="009B4024"/>
    <w:rsid w:val="00A30881"/>
    <w:rsid w:val="00A94E88"/>
    <w:rsid w:val="00B06D29"/>
    <w:rsid w:val="00B31980"/>
    <w:rsid w:val="00B6362E"/>
    <w:rsid w:val="00BD317A"/>
    <w:rsid w:val="00C8178B"/>
    <w:rsid w:val="00C9100B"/>
    <w:rsid w:val="00CC0B34"/>
    <w:rsid w:val="00CC2B8E"/>
    <w:rsid w:val="00CF6999"/>
    <w:rsid w:val="00D035F7"/>
    <w:rsid w:val="00D05ED9"/>
    <w:rsid w:val="00E376DA"/>
    <w:rsid w:val="00F25395"/>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620</Words>
  <Characters>3907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9</cp:revision>
  <cp:lastPrinted>2014-11-13T06:03:00Z</cp:lastPrinted>
  <dcterms:created xsi:type="dcterms:W3CDTF">2015-06-08T09:33:00Z</dcterms:created>
  <dcterms:modified xsi:type="dcterms:W3CDTF">2015-06-08T10:04:00Z</dcterms:modified>
</cp:coreProperties>
</file>