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B8E" w:rsidRPr="00F62680" w:rsidRDefault="00CC2B8E" w:rsidP="00CC2B8E">
      <w:pPr>
        <w:jc w:val="center"/>
        <w:rPr>
          <w:rFonts w:ascii="GillSans-Bold" w:hAnsi="GillSans-Bold"/>
          <w:sz w:val="28"/>
          <w:szCs w:val="24"/>
        </w:rPr>
      </w:pPr>
      <w:bookmarkStart w:id="0" w:name="_GoBack"/>
      <w:bookmarkEnd w:id="0"/>
      <w:r w:rsidRPr="00F62680">
        <w:rPr>
          <w:rFonts w:ascii="GillSans-Bold" w:hAnsi="GillSans-Bold"/>
          <w:sz w:val="28"/>
          <w:szCs w:val="24"/>
        </w:rPr>
        <w:t>Pressemitteilung</w:t>
      </w:r>
    </w:p>
    <w:p w:rsidR="00CC2B8E" w:rsidRPr="00F62680" w:rsidRDefault="00CC2B8E" w:rsidP="00CC2B8E">
      <w:pPr>
        <w:jc w:val="center"/>
        <w:rPr>
          <w:rFonts w:ascii="GillSans-Bold" w:hAnsi="GillSans-Bold"/>
          <w:sz w:val="28"/>
          <w:szCs w:val="24"/>
        </w:rPr>
      </w:pPr>
    </w:p>
    <w:p w:rsidR="002F0933" w:rsidRPr="002F0933" w:rsidRDefault="002F0933" w:rsidP="002F0933">
      <w:pPr>
        <w:rPr>
          <w:rFonts w:ascii="GillSans" w:hAnsi="GillSans" w:cstheme="minorHAnsi"/>
          <w:b/>
          <w:sz w:val="28"/>
        </w:rPr>
      </w:pPr>
      <w:r>
        <w:rPr>
          <w:rFonts w:ascii="GillSans" w:hAnsi="GillSans" w:cstheme="minorHAnsi"/>
          <w:b/>
          <w:sz w:val="28"/>
        </w:rPr>
        <w:t>t</w:t>
      </w:r>
      <w:r w:rsidRPr="002F0933">
        <w:rPr>
          <w:rFonts w:ascii="GillSans" w:hAnsi="GillSans" w:cstheme="minorHAnsi"/>
          <w:b/>
          <w:sz w:val="28"/>
        </w:rPr>
        <w:t>homann Audio Professionell erhält den Auftrag für die Audio- und Medientechnik im Schauspielhaus Köln</w:t>
      </w:r>
    </w:p>
    <w:p w:rsidR="002F0933" w:rsidRPr="002F0933" w:rsidRDefault="002F0933" w:rsidP="002F0933">
      <w:pPr>
        <w:autoSpaceDE w:val="0"/>
        <w:autoSpaceDN w:val="0"/>
        <w:adjustRightInd w:val="0"/>
        <w:rPr>
          <w:rFonts w:ascii="GillSans" w:hAnsi="GillSans" w:cstheme="minorHAnsi"/>
        </w:rPr>
      </w:pPr>
      <w:r w:rsidRPr="002F0933">
        <w:rPr>
          <w:rFonts w:ascii="GillSans" w:hAnsi="GillSans"/>
          <w:b/>
        </w:rPr>
        <w:t>Treppendorf, 14.04</w:t>
      </w:r>
      <w:r w:rsidR="00D05ED9" w:rsidRPr="002F0933">
        <w:rPr>
          <w:rFonts w:ascii="GillSans" w:hAnsi="GillSans"/>
          <w:b/>
        </w:rPr>
        <w:t>.2015:</w:t>
      </w:r>
      <w:r w:rsidR="00D05ED9" w:rsidRPr="002F0933">
        <w:rPr>
          <w:rFonts w:ascii="GillSans" w:hAnsi="GillSans"/>
        </w:rPr>
        <w:t xml:space="preserve"> </w:t>
      </w:r>
      <w:r w:rsidRPr="002F0933">
        <w:rPr>
          <w:rFonts w:ascii="GillSans" w:hAnsi="GillSans" w:cstheme="minorHAnsi"/>
        </w:rPr>
        <w:t>Das Schauspiel Köln ist die traditionelle Schauspielstätte in Köln. Es bildet zusammen mit der</w:t>
      </w:r>
      <w:r>
        <w:rPr>
          <w:rFonts w:ascii="GillSans" w:hAnsi="GillSans" w:cstheme="minorHAnsi"/>
        </w:rPr>
        <w:t xml:space="preserve"> </w:t>
      </w:r>
      <w:r w:rsidRPr="002F0933">
        <w:rPr>
          <w:rFonts w:ascii="GillSans" w:hAnsi="GillSans" w:cstheme="minorHAnsi"/>
        </w:rPr>
        <w:t>Oper, der Kinderoper, den Opernterassen (Kleines Haus)  und weiteren Häusern die "Bühnen der Stadt Köln". thomann Audio Professionell hat zusammen mit der avisys GmbH aus Wesseling bei Köln den Auftrag für die Installation der Audio- und Medientechnik im Schauspielhaus sowie den Opernterassen erhalten. thomann Audio Professionell und die avisys GmbH treten dort als Arbeitsgemeinschaft auf.</w:t>
      </w:r>
    </w:p>
    <w:p w:rsidR="002F0933" w:rsidRPr="002F0933" w:rsidRDefault="002F0933" w:rsidP="002F0933">
      <w:pPr>
        <w:autoSpaceDE w:val="0"/>
        <w:autoSpaceDN w:val="0"/>
        <w:adjustRightInd w:val="0"/>
        <w:rPr>
          <w:rFonts w:ascii="GillSans" w:hAnsi="GillSans" w:cstheme="minorHAnsi"/>
        </w:rPr>
      </w:pPr>
      <w:r w:rsidRPr="002F0933">
        <w:rPr>
          <w:rFonts w:ascii="GillSans" w:hAnsi="GillSans" w:cstheme="minorHAnsi"/>
        </w:rPr>
        <w:t xml:space="preserve">„Wir freuen uns sehr den Zuschlag für dieses Projekt von der Stadt Köln erhalten zu haben.“, so Carsten Land, Projektleiter bei thomann Audio Professionell. „Besonders freue ich mich auch, mit der avisys GmbH ein Partnerunternehmen mit im Boot zu haben, welches über ebensolche  Fachkompetenz und Strukturen verfügt, wie wir. Die örtliche Nähe der avisys GmbH zum Projekt war ein weiterer Grund für diese ARGE.  Es ergibt sich eine win-win-win Situation, sodass  also nicht nur die Arbeitsgemeinschaft, sondern auch der Bauherr davon profitiert und die Lösung seiner sehr hohen Anforderungen in guten Händen weiß.“   </w:t>
      </w:r>
    </w:p>
    <w:p w:rsidR="002F0933" w:rsidRPr="002F0933" w:rsidRDefault="002F0933" w:rsidP="002F0933">
      <w:pPr>
        <w:autoSpaceDE w:val="0"/>
        <w:autoSpaceDN w:val="0"/>
        <w:adjustRightInd w:val="0"/>
        <w:rPr>
          <w:rFonts w:ascii="GillSans" w:hAnsi="GillSans" w:cstheme="minorHAnsi"/>
        </w:rPr>
      </w:pPr>
      <w:r w:rsidRPr="002F0933">
        <w:rPr>
          <w:rFonts w:ascii="GillSans" w:hAnsi="GillSans" w:cstheme="minorHAnsi"/>
        </w:rPr>
        <w:t>Das Schauspielhaus stellt sich als längsorientierter, rechteckiger Bau mit einem quaderförmigen hohen Bühnenturm dar. Das Gebäude verfügt über 830 Zuschauer-Plätze im "Großen Haus". Das Schauspiel verfügt über eine Zuschauerfläche von ca. 265m</w:t>
      </w:r>
      <w:r w:rsidRPr="002F0933">
        <w:rPr>
          <w:rFonts w:ascii="GillSans" w:hAnsi="GillSans" w:cstheme="minorHAnsi"/>
          <w:vertAlign w:val="superscript"/>
        </w:rPr>
        <w:t>2</w:t>
      </w:r>
      <w:r w:rsidRPr="002F0933">
        <w:rPr>
          <w:rFonts w:ascii="GillSans" w:hAnsi="GillSans" w:cstheme="minorHAnsi"/>
        </w:rPr>
        <w:t xml:space="preserve"> im Parkett und zusätzliche 100m</w:t>
      </w:r>
      <w:r w:rsidRPr="002F0933">
        <w:rPr>
          <w:rFonts w:ascii="GillSans" w:hAnsi="GillSans" w:cstheme="minorHAnsi"/>
          <w:vertAlign w:val="superscript"/>
        </w:rPr>
        <w:t>2</w:t>
      </w:r>
      <w:r w:rsidRPr="002F0933">
        <w:rPr>
          <w:rFonts w:ascii="GillSans" w:hAnsi="GillSans" w:cstheme="minorHAnsi"/>
        </w:rPr>
        <w:t xml:space="preserve"> im Hochparkett. Das Hochparkett kann bei Bedarf optisch vom unteren Parkett abgetrennt werden.</w:t>
      </w:r>
    </w:p>
    <w:p w:rsidR="002F0933" w:rsidRPr="002F0933" w:rsidRDefault="002F0933" w:rsidP="002F0933">
      <w:pPr>
        <w:autoSpaceDE w:val="0"/>
        <w:autoSpaceDN w:val="0"/>
        <w:adjustRightInd w:val="0"/>
        <w:rPr>
          <w:rFonts w:ascii="GillSans" w:hAnsi="GillSans" w:cstheme="minorHAnsi"/>
        </w:rPr>
      </w:pPr>
      <w:r w:rsidRPr="002F0933">
        <w:rPr>
          <w:rFonts w:ascii="GillSans" w:hAnsi="GillSans" w:cstheme="minorHAnsi"/>
        </w:rPr>
        <w:t>Die Bühne mit Seiten- und Hinterbühne verfügt ca. über 800m</w:t>
      </w:r>
      <w:r w:rsidRPr="002F0933">
        <w:rPr>
          <w:rFonts w:ascii="GillSans" w:hAnsi="GillSans" w:cstheme="minorHAnsi"/>
          <w:vertAlign w:val="superscript"/>
        </w:rPr>
        <w:t>2</w:t>
      </w:r>
      <w:r w:rsidRPr="002F0933">
        <w:rPr>
          <w:rFonts w:ascii="GillSans" w:hAnsi="GillSans" w:cstheme="minorHAnsi"/>
        </w:rPr>
        <w:t xml:space="preserve"> Nutzfläche. Zwischen Parkett und Hochparkett befindet sich die offene Tonregie FOH. Diese wird auch für die Bühnenbeleuchtung als Stellwerk benutzt. Zusätzlich gibt es noch eine geschlossene Ton-, Licht- und Projektionsregie. </w:t>
      </w:r>
    </w:p>
    <w:p w:rsidR="002F0933" w:rsidRPr="002F0933" w:rsidRDefault="002F0933" w:rsidP="002F0933">
      <w:pPr>
        <w:autoSpaceDE w:val="0"/>
        <w:autoSpaceDN w:val="0"/>
        <w:adjustRightInd w:val="0"/>
        <w:rPr>
          <w:rFonts w:ascii="GillSans" w:hAnsi="GillSans" w:cstheme="minorHAnsi"/>
        </w:rPr>
      </w:pPr>
      <w:r w:rsidRPr="002F0933">
        <w:rPr>
          <w:rFonts w:ascii="GillSans" w:hAnsi="GillSans" w:cstheme="minorHAnsi"/>
        </w:rPr>
        <w:t xml:space="preserve">Für die Medientechnik steht eine qualitativ hochwertige Beschallungsanlage im Vordergrund.  So kommen im Schauspielhaus nahezu ausschließlich Beschallungskomponenten von d&amp;b audiotechnik zum Einsatz, in den Opernterassen Beschallungskomponenten von Meyer Sound. </w:t>
      </w:r>
    </w:p>
    <w:p w:rsidR="002F0933" w:rsidRPr="002F0933" w:rsidRDefault="002F0933" w:rsidP="002F0933">
      <w:pPr>
        <w:autoSpaceDE w:val="0"/>
        <w:autoSpaceDN w:val="0"/>
        <w:adjustRightInd w:val="0"/>
        <w:rPr>
          <w:rFonts w:ascii="GillSans" w:hAnsi="GillSans" w:cstheme="minorHAnsi"/>
        </w:rPr>
      </w:pPr>
      <w:r w:rsidRPr="002F0933">
        <w:rPr>
          <w:rFonts w:ascii="GillSans" w:hAnsi="GillSans" w:cstheme="minorHAnsi"/>
        </w:rPr>
        <w:t>Wie schon beim Schauspielhaus der Staatstheater Stuttgart wird es auch im Schauspielhaus Köln eine Effekt-Beschallung rings um den Zuschauerbereich geben, die mit Hilfe von über 20 zusätzlichen Lautsprechern immersive Klangeffekte ermöglichen soll. Verwaltet werden die Audiosignale über ein digitales Audio-Netzwerk von Lawo, die Steuerung von den beiden Regien geschieht dabei über eine  Konsole  mc²66 nebst einer Erweiterung. In den Opernterassen wird hingegen ein Soundcraft Vi-1 zum Einsatz kommen, welches die Signale über ein Rocknet 300 System verwaltet. Als Schnittstelle zur Bühnentechnik dient ein InspiControl System von Digitech; die Kommunikation der Mitarbeiter während Proben und Vorstellung wird mithilfe eines Intercom Systems von Telex/RTS gewährleistet.</w:t>
      </w:r>
    </w:p>
    <w:p w:rsidR="002F0933" w:rsidRPr="002F0933" w:rsidRDefault="002F0933" w:rsidP="002F0933">
      <w:pPr>
        <w:autoSpaceDE w:val="0"/>
        <w:autoSpaceDN w:val="0"/>
        <w:adjustRightInd w:val="0"/>
        <w:rPr>
          <w:rFonts w:ascii="GillSans" w:hAnsi="GillSans" w:cstheme="minorHAnsi"/>
        </w:rPr>
      </w:pPr>
      <w:r w:rsidRPr="002F0933">
        <w:rPr>
          <w:rFonts w:ascii="GillSans" w:hAnsi="GillSans" w:cstheme="minorHAnsi"/>
        </w:rPr>
        <w:t>Der Spielbetrieb des Schauspielhauses Köln läuft in der Ausweichspielstätte Carlswerk Köln wie gewohnt weiter. Die Fertigstellung ist Ende 2015 geplant.</w:t>
      </w:r>
    </w:p>
    <w:p w:rsidR="005E5241" w:rsidRPr="000B4F7E" w:rsidRDefault="005E5241" w:rsidP="005E5241">
      <w:pPr>
        <w:rPr>
          <w:rFonts w:ascii="GillSans-Bold" w:hAnsi="GillSans-Bold"/>
        </w:rPr>
      </w:pPr>
      <w:r w:rsidRPr="000B4F7E">
        <w:rPr>
          <w:rFonts w:ascii="GillSans-Bold" w:hAnsi="GillSans-Bold"/>
        </w:rPr>
        <w:lastRenderedPageBreak/>
        <w:t>Über Thomann Audio Professionell:</w:t>
      </w:r>
    </w:p>
    <w:p w:rsidR="005E5241" w:rsidRDefault="005E5241" w:rsidP="005E5241">
      <w:pPr>
        <w:rPr>
          <w:rFonts w:ascii="GillSans" w:hAnsi="GillSans"/>
        </w:rPr>
      </w:pPr>
      <w:r w:rsidRPr="000B4F7E">
        <w:rPr>
          <w:rFonts w:ascii="GillSans" w:hAnsi="GillSans"/>
        </w:rPr>
        <w:t>Seit über 15 Jahren ist das Systemhaus Thomann Audio Professionell professioneller Ansprechpartner für</w:t>
      </w:r>
      <w:r w:rsidRPr="000B4F7E">
        <w:rPr>
          <w:rFonts w:ascii="GillSans" w:hAnsi="GillSans"/>
          <w:b/>
          <w:bCs/>
        </w:rPr>
        <w:t xml:space="preserve"> </w:t>
      </w:r>
      <w:r w:rsidRPr="000B4F7E">
        <w:rPr>
          <w:rFonts w:ascii="GillSans" w:hAnsi="GillSans"/>
        </w:rPr>
        <w:t>Audio-, Video-, Licht-, und Medientechnik. Das Systemhaus bietet langjährige Erfahrung und ein breites Fachwissen um Kundenwünsche erfolgreich in Equipment und Projekte umzusetzen. Die Leistungen umfassen die Projektierung und Planung von Projekten im Bereich</w:t>
      </w:r>
      <w:r w:rsidRPr="000B4F7E">
        <w:rPr>
          <w:rFonts w:ascii="GillSans" w:hAnsi="GillSans"/>
          <w:b/>
          <w:bCs/>
        </w:rPr>
        <w:t xml:space="preserve"> </w:t>
      </w:r>
      <w:r w:rsidRPr="000B4F7E">
        <w:rPr>
          <w:rFonts w:ascii="GillSans" w:hAnsi="GillSans"/>
        </w:rPr>
        <w:t>Audio-, Video-, Licht-, und Medientechnik</w:t>
      </w:r>
      <w:r w:rsidRPr="000B4F7E">
        <w:rPr>
          <w:rFonts w:ascii="GillSans" w:hAnsi="GillSans"/>
          <w:b/>
          <w:bCs/>
        </w:rPr>
        <w:t xml:space="preserve">, </w:t>
      </w:r>
      <w:r w:rsidRPr="000B4F7E">
        <w:rPr>
          <w:rFonts w:ascii="GillSans" w:hAnsi="GillSans"/>
        </w:rPr>
        <w:t>sowie den Vertrieb und die Installation der dafür erforderlichen Produkte und natürlich die Dokumentation und die Wartung der Anlagen zur Gewährleistung eines sicheren Betriebsablaufs. Zu den Kunden von Thomann Audio Professionell zählen u.a. namhafte Studios, Rundfunkanstalten, Theater-, Oper- und Schauspielhäuser, Messe-, Kongress- &amp; Kulturzentren, Schulen, Universitäten und Ausbildungsstätten, Kirchen und kirchliche Einrichtungen, Museen und Ausstellungsräume sowie Sporthallen und Sporteinrichtungen.</w:t>
      </w:r>
    </w:p>
    <w:p w:rsidR="002F0933" w:rsidRDefault="002F0933" w:rsidP="000B4F7E">
      <w:pPr>
        <w:spacing w:before="100" w:beforeAutospacing="1" w:after="100" w:afterAutospacing="1" w:line="240" w:lineRule="auto"/>
        <w:rPr>
          <w:rFonts w:ascii="GillSans" w:eastAsia="Times New Roman" w:hAnsi="GillSans" w:cs="Times New Roman"/>
          <w:b/>
          <w:szCs w:val="20"/>
          <w:lang w:eastAsia="de-DE"/>
        </w:rPr>
      </w:pPr>
    </w:p>
    <w:p w:rsidR="000B4F7E" w:rsidRPr="00F25395" w:rsidRDefault="000B4F7E" w:rsidP="000B4F7E">
      <w:pPr>
        <w:spacing w:before="100" w:beforeAutospacing="1" w:after="100" w:afterAutospacing="1" w:line="240" w:lineRule="auto"/>
        <w:rPr>
          <w:rFonts w:ascii="GillSans" w:eastAsia="Times New Roman" w:hAnsi="GillSans" w:cs="Times New Roman"/>
          <w:szCs w:val="20"/>
          <w:lang w:eastAsia="de-DE"/>
        </w:rPr>
      </w:pPr>
      <w:r w:rsidRPr="000B4F7E">
        <w:rPr>
          <w:rFonts w:ascii="GillSans" w:eastAsia="Times New Roman" w:hAnsi="GillSans" w:cs="Times New Roman"/>
          <w:b/>
          <w:szCs w:val="20"/>
          <w:lang w:eastAsia="de-DE"/>
        </w:rPr>
        <w:t xml:space="preserve">Pressekontakt: </w:t>
      </w:r>
      <w:r w:rsidR="00620DAA">
        <w:rPr>
          <w:rFonts w:ascii="GillSans" w:eastAsia="Times New Roman" w:hAnsi="GillSans" w:cs="Times New Roman"/>
          <w:b/>
          <w:szCs w:val="20"/>
          <w:lang w:eastAsia="de-DE"/>
        </w:rPr>
        <w:br/>
      </w:r>
      <w:r w:rsidRPr="000B4F7E">
        <w:rPr>
          <w:rFonts w:ascii="GillSans" w:eastAsia="Times New Roman" w:hAnsi="GillSans" w:cs="Times New Roman"/>
          <w:b/>
          <w:szCs w:val="20"/>
          <w:lang w:eastAsia="de-DE"/>
        </w:rPr>
        <w:br/>
      </w:r>
      <w:r w:rsidRPr="000B4F7E">
        <w:rPr>
          <w:rFonts w:ascii="GillSans" w:eastAsia="Times New Roman" w:hAnsi="GillSans" w:cs="Times New Roman"/>
          <w:szCs w:val="20"/>
          <w:lang w:eastAsia="de-DE"/>
        </w:rPr>
        <w:t>Musikhaus Thomann e.K.</w:t>
      </w:r>
      <w:r w:rsidRPr="000B4F7E">
        <w:rPr>
          <w:rFonts w:ascii="GillSans" w:eastAsia="Times New Roman" w:hAnsi="GillSans" w:cs="Times New Roman"/>
          <w:szCs w:val="20"/>
          <w:lang w:eastAsia="de-DE"/>
        </w:rPr>
        <w:br/>
        <w:t>Thomann Audio Professionell</w:t>
      </w:r>
      <w:r w:rsidRPr="000B4F7E">
        <w:rPr>
          <w:rFonts w:ascii="GillSans" w:eastAsia="Times New Roman" w:hAnsi="GillSans" w:cs="Times New Roman"/>
          <w:szCs w:val="20"/>
          <w:lang w:eastAsia="de-DE"/>
        </w:rPr>
        <w:br/>
        <w:t>Désirée Müller</w:t>
      </w:r>
      <w:r w:rsidR="00F25395">
        <w:rPr>
          <w:rFonts w:ascii="GillSans" w:eastAsia="Times New Roman" w:hAnsi="GillSans" w:cs="Times New Roman"/>
          <w:szCs w:val="20"/>
          <w:lang w:eastAsia="de-DE"/>
        </w:rPr>
        <w:br/>
        <w:t>Marketing &amp; Kommunikation</w:t>
      </w:r>
      <w:r w:rsidRPr="000B4F7E">
        <w:rPr>
          <w:rFonts w:ascii="GillSans" w:eastAsia="Times New Roman" w:hAnsi="GillSans" w:cs="Times New Roman"/>
          <w:szCs w:val="20"/>
          <w:lang w:eastAsia="de-DE"/>
        </w:rPr>
        <w:br/>
        <w:t>Tel: +49-9546-9223-485</w:t>
      </w:r>
      <w:r w:rsidRPr="000B4F7E">
        <w:rPr>
          <w:rFonts w:ascii="GillSans" w:eastAsia="Times New Roman" w:hAnsi="GillSans" w:cs="Times New Roman"/>
          <w:szCs w:val="20"/>
          <w:lang w:eastAsia="de-DE"/>
        </w:rPr>
        <w:br/>
        <w:t>Fax: +49-9546-9223-499</w:t>
      </w:r>
      <w:r w:rsidR="00F25395">
        <w:rPr>
          <w:rFonts w:ascii="GillSans" w:eastAsia="Times New Roman" w:hAnsi="GillSans" w:cs="Times New Roman"/>
          <w:szCs w:val="20"/>
          <w:lang w:eastAsia="de-DE"/>
        </w:rPr>
        <w:br/>
        <w:t xml:space="preserve">E-Mail: </w:t>
      </w:r>
      <w:r w:rsidR="00F25395" w:rsidRPr="000B4F7E">
        <w:rPr>
          <w:rFonts w:ascii="GillSans" w:eastAsia="Times New Roman" w:hAnsi="GillSans" w:cs="Times New Roman"/>
          <w:szCs w:val="20"/>
          <w:lang w:eastAsia="de-DE"/>
        </w:rPr>
        <w:t>desiree.mueller@thomann.de</w:t>
      </w:r>
    </w:p>
    <w:p w:rsidR="000B4F7E" w:rsidRDefault="000B4F7E">
      <w:pPr>
        <w:rPr>
          <w:rFonts w:ascii="GillSans" w:hAnsi="GillSans"/>
        </w:rPr>
      </w:pPr>
    </w:p>
    <w:p w:rsidR="004E52B8" w:rsidRPr="001B2032" w:rsidRDefault="004E52B8">
      <w:pPr>
        <w:rPr>
          <w:rFonts w:ascii="GillSans" w:hAnsi="GillSans"/>
          <w:b/>
        </w:rPr>
      </w:pPr>
      <w:r w:rsidRPr="001B2032">
        <w:rPr>
          <w:rFonts w:ascii="GillSans" w:hAnsi="GillSans"/>
          <w:b/>
        </w:rPr>
        <w:t xml:space="preserve">Anhang: </w:t>
      </w:r>
    </w:p>
    <w:p w:rsidR="009258CD" w:rsidRDefault="002F0933" w:rsidP="009258CD">
      <w:pPr>
        <w:rPr>
          <w:rFonts w:ascii="GillSans" w:hAnsi="GillSans"/>
        </w:rPr>
      </w:pPr>
      <w:r>
        <w:rPr>
          <w:rFonts w:ascii="GillSans" w:hAnsi="GillSans"/>
        </w:rPr>
        <w:t>SchauspielhausKöln_01</w:t>
      </w:r>
      <w:r w:rsidR="0062620A">
        <w:rPr>
          <w:rFonts w:ascii="GillSans" w:hAnsi="GillSans"/>
        </w:rPr>
        <w:t>.jpg</w:t>
      </w:r>
      <w:r w:rsidR="009258CD">
        <w:rPr>
          <w:rFonts w:ascii="GillSans" w:hAnsi="GillSans"/>
        </w:rPr>
        <w:br/>
      </w:r>
      <w:r>
        <w:rPr>
          <w:rFonts w:ascii="GillSans" w:hAnsi="GillSans"/>
        </w:rPr>
        <w:t>SchauspielhausKöln_02.jpg</w:t>
      </w:r>
    </w:p>
    <w:p w:rsidR="00254E6A" w:rsidRDefault="00254E6A" w:rsidP="00254E6A">
      <w:pPr>
        <w:rPr>
          <w:rFonts w:ascii="GillSans" w:hAnsi="GillSans"/>
        </w:rPr>
      </w:pPr>
    </w:p>
    <w:p w:rsidR="009258CD" w:rsidRPr="000B4F7E" w:rsidRDefault="009258CD" w:rsidP="00254E6A">
      <w:pPr>
        <w:rPr>
          <w:rFonts w:ascii="GillSans" w:hAnsi="GillSans"/>
        </w:rPr>
      </w:pPr>
    </w:p>
    <w:p w:rsidR="00254E6A" w:rsidRPr="000B4F7E" w:rsidRDefault="00254E6A">
      <w:pPr>
        <w:rPr>
          <w:rFonts w:ascii="GillSans" w:hAnsi="GillSans"/>
        </w:rPr>
      </w:pPr>
    </w:p>
    <w:sectPr w:rsidR="00254E6A" w:rsidRPr="000B4F7E" w:rsidSect="0062620A">
      <w:headerReference w:type="default" r:id="rId6"/>
      <w:footerReference w:type="default" r:id="rId7"/>
      <w:pgSz w:w="11906" w:h="16838" w:code="34"/>
      <w:pgMar w:top="2336"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6862" w:rsidRDefault="00B56862">
      <w:r>
        <w:separator/>
      </w:r>
    </w:p>
  </w:endnote>
  <w:endnote w:type="continuationSeparator" w:id="0">
    <w:p w:rsidR="00B56862" w:rsidRDefault="00B56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illSans-Bold">
    <w:altName w:val="Times New Roman"/>
    <w:panose1 w:val="00000000000000000000"/>
    <w:charset w:val="00"/>
    <w:family w:val="auto"/>
    <w:pitch w:val="variable"/>
    <w:sig w:usb0="00000087" w:usb1="00000000" w:usb2="00000000" w:usb3="00000000" w:csb0="0000001B" w:csb1="00000000"/>
  </w:font>
  <w:font w:name="GillSans">
    <w:altName w:val="Times New Roman"/>
    <w:panose1 w:val="00000000000000000000"/>
    <w:charset w:val="00"/>
    <w:family w:val="auto"/>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E66" w:rsidRPr="002F0933" w:rsidRDefault="002F0933" w:rsidP="000B4F7E">
    <w:pPr>
      <w:rPr>
        <w:rFonts w:ascii="GillSans" w:hAnsi="GillSans" w:cstheme="minorHAnsi"/>
        <w:b/>
        <w:sz w:val="20"/>
      </w:rPr>
    </w:pPr>
    <w:r w:rsidRPr="002F0933">
      <w:rPr>
        <w:rFonts w:ascii="GillSans" w:hAnsi="GillSans" w:cstheme="minorHAnsi"/>
        <w:sz w:val="20"/>
      </w:rPr>
      <w:t>thomann Audio Professionell erhält den Auftrag für die Audio- und Medientechnik im Schauspielhaus Köln</w:t>
    </w:r>
    <w:r>
      <w:rPr>
        <w:rFonts w:ascii="GillSans" w:hAnsi="GillSans" w:cstheme="minorHAnsi"/>
        <w:sz w:val="20"/>
      </w:rPr>
      <w:t xml:space="preserve">    </w:t>
    </w:r>
    <w:r w:rsidR="007F2E66" w:rsidRPr="007F2E66">
      <w:rPr>
        <w:rStyle w:val="Seitenzahl"/>
        <w:rFonts w:ascii="GillSans" w:hAnsi="GillSans"/>
        <w:sz w:val="20"/>
        <w:szCs w:val="20"/>
      </w:rPr>
      <w:fldChar w:fldCharType="begin"/>
    </w:r>
    <w:r w:rsidR="007F2E66" w:rsidRPr="007F2E66">
      <w:rPr>
        <w:rStyle w:val="Seitenzahl"/>
        <w:rFonts w:ascii="GillSans" w:hAnsi="GillSans"/>
        <w:sz w:val="20"/>
        <w:szCs w:val="20"/>
      </w:rPr>
      <w:instrText xml:space="preserve"> PAGE </w:instrText>
    </w:r>
    <w:r w:rsidR="007F2E66" w:rsidRPr="007F2E66">
      <w:rPr>
        <w:rStyle w:val="Seitenzahl"/>
        <w:rFonts w:ascii="GillSans" w:hAnsi="GillSans"/>
        <w:sz w:val="20"/>
        <w:szCs w:val="20"/>
      </w:rPr>
      <w:fldChar w:fldCharType="separate"/>
    </w:r>
    <w:r w:rsidR="00A07370">
      <w:rPr>
        <w:rStyle w:val="Seitenzahl"/>
        <w:rFonts w:ascii="GillSans" w:hAnsi="GillSans"/>
        <w:noProof/>
        <w:sz w:val="20"/>
        <w:szCs w:val="20"/>
      </w:rPr>
      <w:t>1</w:t>
    </w:r>
    <w:r w:rsidR="007F2E66" w:rsidRPr="007F2E66">
      <w:rPr>
        <w:rStyle w:val="Seitenzahl"/>
        <w:rFonts w:ascii="GillSans" w:hAnsi="GillSans"/>
        <w:sz w:val="20"/>
        <w:szCs w:val="20"/>
      </w:rPr>
      <w:fldChar w:fldCharType="end"/>
    </w:r>
    <w:r w:rsidR="007F2E66" w:rsidRPr="007F2E66">
      <w:rPr>
        <w:rStyle w:val="Seitenzahl"/>
        <w:rFonts w:ascii="GillSans" w:hAnsi="GillSans"/>
        <w:sz w:val="20"/>
        <w:szCs w:val="20"/>
      </w:rPr>
      <w:t>/</w:t>
    </w:r>
    <w:r w:rsidR="007F2E66" w:rsidRPr="007F2E66">
      <w:rPr>
        <w:rStyle w:val="Seitenzahl"/>
        <w:rFonts w:ascii="GillSans" w:hAnsi="GillSans"/>
        <w:sz w:val="20"/>
        <w:szCs w:val="20"/>
      </w:rPr>
      <w:fldChar w:fldCharType="begin"/>
    </w:r>
    <w:r w:rsidR="007F2E66" w:rsidRPr="007F2E66">
      <w:rPr>
        <w:rStyle w:val="Seitenzahl"/>
        <w:rFonts w:ascii="GillSans" w:hAnsi="GillSans"/>
        <w:sz w:val="20"/>
        <w:szCs w:val="20"/>
      </w:rPr>
      <w:instrText xml:space="preserve"> NUMPAGES </w:instrText>
    </w:r>
    <w:r w:rsidR="007F2E66" w:rsidRPr="007F2E66">
      <w:rPr>
        <w:rStyle w:val="Seitenzahl"/>
        <w:rFonts w:ascii="GillSans" w:hAnsi="GillSans"/>
        <w:sz w:val="20"/>
        <w:szCs w:val="20"/>
      </w:rPr>
      <w:fldChar w:fldCharType="separate"/>
    </w:r>
    <w:r w:rsidR="00A07370">
      <w:rPr>
        <w:rStyle w:val="Seitenzahl"/>
        <w:rFonts w:ascii="GillSans" w:hAnsi="GillSans"/>
        <w:noProof/>
        <w:sz w:val="20"/>
        <w:szCs w:val="20"/>
      </w:rPr>
      <w:t>2</w:t>
    </w:r>
    <w:r w:rsidR="007F2E66" w:rsidRPr="007F2E66">
      <w:rPr>
        <w:rStyle w:val="Seitenzahl"/>
        <w:rFonts w:ascii="GillSans" w:hAnsi="GillSan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6862" w:rsidRDefault="00B56862">
      <w:r>
        <w:separator/>
      </w:r>
    </w:p>
  </w:footnote>
  <w:footnote w:type="continuationSeparator" w:id="0">
    <w:p w:rsidR="00B56862" w:rsidRDefault="00B568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1A7" w:rsidRPr="002031A7" w:rsidRDefault="000B4F7E">
    <w:pPr>
      <w:pStyle w:val="Kopfzeile"/>
      <w:rPr>
        <w:rFonts w:ascii="GillSans" w:hAnsi="GillSans"/>
        <w:sz w:val="20"/>
        <w:szCs w:val="20"/>
        <w:u w:val="single"/>
      </w:rPr>
    </w:pPr>
    <w:r>
      <w:rPr>
        <w:rFonts w:ascii="GillSans" w:hAnsi="GillSans"/>
        <w:sz w:val="20"/>
        <w:szCs w:val="20"/>
        <w:u w:val="single"/>
      </w:rPr>
      <w:t>Pressemitteilung</w:t>
    </w:r>
    <w:r w:rsidR="002031A7" w:rsidRPr="002031A7">
      <w:rPr>
        <w:rFonts w:ascii="GillSans" w:hAnsi="GillSans"/>
        <w:sz w:val="20"/>
        <w:szCs w:val="20"/>
        <w:u w:val="single"/>
      </w:rPr>
      <w:tab/>
    </w:r>
    <w:r w:rsidR="007F2E66">
      <w:rPr>
        <w:rFonts w:ascii="GillSans" w:hAnsi="GillSans"/>
        <w:sz w:val="20"/>
        <w:szCs w:val="20"/>
        <w:u w:val="single"/>
      </w:rPr>
      <w:tab/>
    </w:r>
    <w:r w:rsidR="005E5241" w:rsidRPr="002031A7">
      <w:rPr>
        <w:rFonts w:ascii="GillSans" w:hAnsi="GillSans"/>
        <w:noProof/>
        <w:sz w:val="20"/>
        <w:szCs w:val="20"/>
        <w:u w:val="single"/>
        <w:lang w:eastAsia="de-DE"/>
      </w:rPr>
      <w:drawing>
        <wp:inline distT="0" distB="0" distL="0" distR="0">
          <wp:extent cx="1685925" cy="447675"/>
          <wp:effectExtent l="0" t="0" r="9525" b="9525"/>
          <wp:docPr id="1" name="Bild 1" descr="Logo sch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chri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4476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241"/>
    <w:rsid w:val="000113C2"/>
    <w:rsid w:val="00065C86"/>
    <w:rsid w:val="000B4F7E"/>
    <w:rsid w:val="000F3FEC"/>
    <w:rsid w:val="00132AAA"/>
    <w:rsid w:val="00160FF1"/>
    <w:rsid w:val="00192604"/>
    <w:rsid w:val="00193BEA"/>
    <w:rsid w:val="001B2032"/>
    <w:rsid w:val="001D665E"/>
    <w:rsid w:val="002031A7"/>
    <w:rsid w:val="00254E6A"/>
    <w:rsid w:val="002B3BB6"/>
    <w:rsid w:val="002F0933"/>
    <w:rsid w:val="003433B6"/>
    <w:rsid w:val="00413F3F"/>
    <w:rsid w:val="004E52B8"/>
    <w:rsid w:val="0050638A"/>
    <w:rsid w:val="005C5D58"/>
    <w:rsid w:val="005D1DB3"/>
    <w:rsid w:val="005D5664"/>
    <w:rsid w:val="005E5241"/>
    <w:rsid w:val="00620DAA"/>
    <w:rsid w:val="00622D98"/>
    <w:rsid w:val="0062620A"/>
    <w:rsid w:val="006532B1"/>
    <w:rsid w:val="00673DC1"/>
    <w:rsid w:val="00680352"/>
    <w:rsid w:val="0068748F"/>
    <w:rsid w:val="00691B0D"/>
    <w:rsid w:val="00693C7D"/>
    <w:rsid w:val="006A1818"/>
    <w:rsid w:val="006A4537"/>
    <w:rsid w:val="006C1023"/>
    <w:rsid w:val="006C594A"/>
    <w:rsid w:val="00771BDA"/>
    <w:rsid w:val="0079736C"/>
    <w:rsid w:val="007B66A8"/>
    <w:rsid w:val="007F2E66"/>
    <w:rsid w:val="00854B8D"/>
    <w:rsid w:val="009258CD"/>
    <w:rsid w:val="009556BB"/>
    <w:rsid w:val="00A07370"/>
    <w:rsid w:val="00A30881"/>
    <w:rsid w:val="00A94E88"/>
    <w:rsid w:val="00AC55AD"/>
    <w:rsid w:val="00B06D29"/>
    <w:rsid w:val="00B31980"/>
    <w:rsid w:val="00B56862"/>
    <w:rsid w:val="00B6362E"/>
    <w:rsid w:val="00BD317A"/>
    <w:rsid w:val="00C81013"/>
    <w:rsid w:val="00C8178B"/>
    <w:rsid w:val="00C9100B"/>
    <w:rsid w:val="00CC0B34"/>
    <w:rsid w:val="00CC2B8E"/>
    <w:rsid w:val="00CF6999"/>
    <w:rsid w:val="00D035F7"/>
    <w:rsid w:val="00D0515C"/>
    <w:rsid w:val="00D05ED9"/>
    <w:rsid w:val="00E376DA"/>
    <w:rsid w:val="00F25395"/>
    <w:rsid w:val="00F62680"/>
    <w:rsid w:val="00FA6D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9EAA745-8214-4FC1-9720-89F854C22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E5241"/>
    <w:pPr>
      <w:spacing w:after="200" w:line="276" w:lineRule="auto"/>
    </w:pPr>
    <w:rPr>
      <w:rFonts w:ascii="Calibri" w:eastAsia="Calibri" w:hAnsi="Calibri" w:cs="Calibri"/>
      <w:color w:val="000000"/>
      <w:kern w:val="1"/>
      <w:sz w:val="22"/>
      <w:szCs w:val="22"/>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2031A7"/>
    <w:pPr>
      <w:tabs>
        <w:tab w:val="center" w:pos="4536"/>
        <w:tab w:val="right" w:pos="9072"/>
      </w:tabs>
    </w:pPr>
  </w:style>
  <w:style w:type="paragraph" w:styleId="Fuzeile">
    <w:name w:val="footer"/>
    <w:basedOn w:val="Standard"/>
    <w:rsid w:val="002031A7"/>
    <w:pPr>
      <w:tabs>
        <w:tab w:val="center" w:pos="4536"/>
        <w:tab w:val="right" w:pos="9072"/>
      </w:tabs>
    </w:pPr>
  </w:style>
  <w:style w:type="character" w:styleId="Seitenzahl">
    <w:name w:val="page number"/>
    <w:basedOn w:val="Absatz-Standardschriftart"/>
    <w:rsid w:val="007F2E66"/>
  </w:style>
  <w:style w:type="paragraph" w:styleId="Sprechblasentext">
    <w:name w:val="Balloon Text"/>
    <w:basedOn w:val="Standard"/>
    <w:link w:val="SprechblasentextZchn"/>
    <w:rsid w:val="004E52B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rsid w:val="004E52B8"/>
    <w:rPr>
      <w:rFonts w:ascii="Segoe UI" w:eastAsia="Calibri" w:hAnsi="Segoe UI" w:cs="Segoe UI"/>
      <w:color w:val="000000"/>
      <w:kern w:val="1"/>
      <w:sz w:val="18"/>
      <w:szCs w:val="18"/>
      <w:lang w:eastAsia="ar-SA"/>
    </w:rPr>
  </w:style>
  <w:style w:type="paragraph" w:customStyle="1" w:styleId="NurText1">
    <w:name w:val="Nur Text1"/>
    <w:rsid w:val="00E376DA"/>
    <w:rPr>
      <w:rFonts w:ascii="Calibri" w:eastAsia="Calibri" w:hAnsi="Calibri" w:cs="Calibri"/>
      <w:color w:val="000000"/>
      <w:kern w:val="1"/>
      <w:sz w:val="22"/>
      <w:szCs w:val="22"/>
      <w:lang w:eastAsia="hi-IN" w:bidi="hi-IN"/>
    </w:rPr>
  </w:style>
  <w:style w:type="paragraph" w:customStyle="1" w:styleId="WW-Standard">
    <w:name w:val="WW-Standard"/>
    <w:rsid w:val="006C1023"/>
    <w:rPr>
      <w:rFonts w:ascii="Helvetica" w:eastAsia="Arial Unicode MS" w:hAnsi="Helvetica" w:cs="Arial Unicode MS"/>
      <w:color w:val="000000"/>
      <w:kern w:val="1"/>
      <w:sz w:val="22"/>
      <w:szCs w:val="22"/>
      <w:lang w:eastAsia="hi-IN" w:bidi="hi-IN"/>
    </w:rPr>
  </w:style>
  <w:style w:type="character" w:styleId="Hyperlink">
    <w:name w:val="Hyperlink"/>
    <w:basedOn w:val="Absatz-Standardschriftart"/>
    <w:uiPriority w:val="99"/>
    <w:unhideWhenUsed/>
    <w:rsid w:val="00D05E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024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Audio\Vorlagen\Word\Wartungsvertra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Wartungsvertrag</Template>
  <TotalTime>0</TotalTime>
  <Pages>2</Pages>
  <Words>590</Words>
  <Characters>3719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Mukishaus Thomann</Company>
  <LinksUpToDate>false</LinksUpToDate>
  <CharactersWithSpaces>4301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Désirée Müller</dc:creator>
  <cp:lastModifiedBy>Désirée Müller</cp:lastModifiedBy>
  <cp:revision>2</cp:revision>
  <cp:lastPrinted>2014-11-13T06:03:00Z</cp:lastPrinted>
  <dcterms:created xsi:type="dcterms:W3CDTF">2015-03-30T12:25:00Z</dcterms:created>
  <dcterms:modified xsi:type="dcterms:W3CDTF">2015-03-30T12:25:00Z</dcterms:modified>
</cp:coreProperties>
</file>