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B03126" w:rsidP="00D05ED9">
      <w:pPr>
        <w:rPr>
          <w:rFonts w:ascii="GillSans-Bold" w:hAnsi="GillSans-Bold"/>
          <w:sz w:val="28"/>
        </w:rPr>
      </w:pPr>
      <w:bookmarkStart w:id="0" w:name="_GoBack"/>
      <w:r>
        <w:rPr>
          <w:rFonts w:ascii="GillSans-Bold" w:hAnsi="GillSans-Bold"/>
          <w:sz w:val="28"/>
        </w:rPr>
        <w:t>Medientechnische Installation im Therapiezentrum der AVM gGmbH</w:t>
      </w:r>
    </w:p>
    <w:bookmarkEnd w:id="0"/>
    <w:p w:rsidR="00B03126" w:rsidRDefault="00B03126" w:rsidP="00B03126">
      <w:pPr>
        <w:pStyle w:val="StandardWeb"/>
        <w:spacing w:line="276" w:lineRule="auto"/>
        <w:rPr>
          <w:rFonts w:ascii="GillSans" w:hAnsi="GillSans"/>
          <w:sz w:val="22"/>
          <w:szCs w:val="22"/>
        </w:rPr>
      </w:pPr>
      <w:r>
        <w:rPr>
          <w:rFonts w:ascii="GillSans-Bold" w:hAnsi="GillSans-Bold"/>
        </w:rPr>
        <w:t>Treppendorf, 14.07</w:t>
      </w:r>
      <w:r w:rsidR="00D05ED9" w:rsidRPr="00D05ED9">
        <w:rPr>
          <w:rFonts w:ascii="GillSans-Bold" w:hAnsi="GillSans-Bold"/>
        </w:rPr>
        <w:t>.2015:</w:t>
      </w:r>
      <w:r w:rsidR="00D05ED9" w:rsidRPr="00787037">
        <w:rPr>
          <w:rFonts w:ascii="GillSans" w:hAnsi="GillSans"/>
        </w:rPr>
        <w:t xml:space="preserve"> </w:t>
      </w:r>
      <w:r w:rsidRPr="00B03126">
        <w:rPr>
          <w:rFonts w:ascii="GillSans" w:hAnsi="GillSans"/>
          <w:sz w:val="22"/>
          <w:szCs w:val="22"/>
        </w:rPr>
        <w:t xml:space="preserve">Die Arbeitsgemeinschaft für Verhaltensmodifikation gGmbH (AVM gGmbH) ist an mehreren Standorten in Bayern vertreten. Der Standort Würzburg, welcher in der Innenstadt gelegen ist, wurde neu eingerichtet und verfügt über mehrere Behandlungszimmer sowie einen Schulungsbereich mit Veranstaltungssaal. </w:t>
      </w:r>
      <w:r w:rsidRPr="00B03126">
        <w:rPr>
          <w:rFonts w:ascii="GillSans" w:hAnsi="GillSans"/>
          <w:sz w:val="22"/>
          <w:szCs w:val="22"/>
        </w:rPr>
        <w:t>thomann Audio Professionell</w:t>
      </w:r>
      <w:r w:rsidRPr="00B03126">
        <w:rPr>
          <w:rFonts w:ascii="GillSans" w:hAnsi="GillSans"/>
          <w:sz w:val="22"/>
          <w:szCs w:val="22"/>
        </w:rPr>
        <w:t xml:space="preserve"> wurde am Standort Würzburg mit der medientechnischen Installation des Therapiezentrums beauftragt.</w:t>
      </w:r>
      <w:r>
        <w:rPr>
          <w:rFonts w:ascii="GillSans" w:hAnsi="GillSans"/>
          <w:sz w:val="22"/>
          <w:szCs w:val="22"/>
        </w:rPr>
        <w:t xml:space="preserve"> </w:t>
      </w:r>
    </w:p>
    <w:p w:rsidR="00B03126" w:rsidRDefault="00B03126" w:rsidP="00B03126">
      <w:pPr>
        <w:pStyle w:val="StandardWeb"/>
        <w:spacing w:line="276" w:lineRule="auto"/>
        <w:rPr>
          <w:rFonts w:ascii="GillSans" w:hAnsi="GillSans"/>
          <w:sz w:val="22"/>
          <w:szCs w:val="22"/>
        </w:rPr>
      </w:pPr>
      <w:r w:rsidRPr="00B03126">
        <w:rPr>
          <w:rFonts w:ascii="GillSans" w:hAnsi="GillSans"/>
          <w:sz w:val="22"/>
          <w:szCs w:val="22"/>
        </w:rPr>
        <w:t xml:space="preserve">Während die Therapieräume über eine einfache Beschallung verfügen, ist der Veranstaltungssaal mit umfangreicher </w:t>
      </w:r>
      <w:r w:rsidRPr="00B03126">
        <w:rPr>
          <w:rFonts w:ascii="GillSans" w:hAnsi="GillSans"/>
          <w:sz w:val="22"/>
          <w:szCs w:val="22"/>
        </w:rPr>
        <w:t>Medien- und Veranstaltungstechnik</w:t>
      </w:r>
      <w:r w:rsidRPr="00B03126">
        <w:rPr>
          <w:rFonts w:ascii="GillSans" w:hAnsi="GillSans"/>
          <w:sz w:val="22"/>
          <w:szCs w:val="22"/>
        </w:rPr>
        <w:t xml:space="preserve"> ausgestattet.</w:t>
      </w:r>
      <w:r>
        <w:rPr>
          <w:rFonts w:ascii="GillSans" w:hAnsi="GillSans"/>
          <w:sz w:val="22"/>
          <w:szCs w:val="22"/>
        </w:rPr>
        <w:t xml:space="preserve"> </w:t>
      </w:r>
      <w:r w:rsidRPr="00B03126">
        <w:rPr>
          <w:rFonts w:ascii="GillSans" w:hAnsi="GillSans"/>
          <w:sz w:val="22"/>
          <w:szCs w:val="22"/>
        </w:rPr>
        <w:t>Im Therapiebereich wurde eine Vier-Zonen Beschallung realisiert. Eine Yamaha Audio-Kreuzschiene steuert hierfür einen 4-Kanal Verstärker an. Die Lautstärken werden über ein kleines Bedien-Tableau geregelt.</w:t>
      </w:r>
      <w:r>
        <w:rPr>
          <w:rFonts w:ascii="GillSans" w:hAnsi="GillSans"/>
          <w:sz w:val="22"/>
          <w:szCs w:val="22"/>
        </w:rPr>
        <w:t xml:space="preserve"> </w:t>
      </w:r>
      <w:r w:rsidRPr="00B03126">
        <w:rPr>
          <w:rFonts w:ascii="GillSans" w:hAnsi="GillSans"/>
          <w:sz w:val="22"/>
          <w:szCs w:val="22"/>
        </w:rPr>
        <w:t>Die Yamaha Audio-Kreuzschiene für den Veranstaltungssaal versorgt nebenbei 8 Bereiche mit einfacher Deckenbeschallung. Beide Kreuzschienen sind über Dante miteinander vernetzt, um bei Bedarf auch Audio aus dem Veranstaltungsbereich in den Therapiebereich übertragen zu können.</w:t>
      </w:r>
      <w:r>
        <w:rPr>
          <w:rFonts w:ascii="GillSans" w:hAnsi="GillSans"/>
          <w:sz w:val="22"/>
          <w:szCs w:val="22"/>
        </w:rPr>
        <w:t xml:space="preserve"> </w:t>
      </w:r>
      <w:r w:rsidRPr="00B03126">
        <w:rPr>
          <w:rFonts w:ascii="GillSans" w:hAnsi="GillSans"/>
          <w:sz w:val="22"/>
          <w:szCs w:val="22"/>
        </w:rPr>
        <w:t xml:space="preserve">Der Saal selber ist an jeder Stirnseite mit zwei </w:t>
      </w:r>
      <w:r w:rsidRPr="00B03126">
        <w:rPr>
          <w:rFonts w:ascii="GillSans" w:hAnsi="GillSans"/>
          <w:sz w:val="22"/>
          <w:szCs w:val="22"/>
        </w:rPr>
        <w:t>d&amp;b audiotechnik</w:t>
      </w:r>
      <w:r w:rsidRPr="00B03126">
        <w:rPr>
          <w:rFonts w:ascii="GillSans" w:hAnsi="GillSans"/>
          <w:sz w:val="22"/>
          <w:szCs w:val="22"/>
        </w:rPr>
        <w:t xml:space="preserve"> Säulenlautsprechern bestückt und können in beide Richtungen benutzt werden. Bei Bedarf kann ein mobiler </w:t>
      </w:r>
      <w:r w:rsidRPr="00B03126">
        <w:rPr>
          <w:rFonts w:ascii="GillSans" w:hAnsi="GillSans"/>
          <w:sz w:val="22"/>
          <w:szCs w:val="22"/>
        </w:rPr>
        <w:t>d&amp;b audiotechnik</w:t>
      </w:r>
      <w:r w:rsidRPr="00B03126">
        <w:rPr>
          <w:rFonts w:ascii="GillSans" w:hAnsi="GillSans"/>
          <w:sz w:val="22"/>
          <w:szCs w:val="22"/>
        </w:rPr>
        <w:t xml:space="preserve"> Subwoofer an den beiden Bodentanks angeschlossen werden.</w:t>
      </w:r>
      <w:r>
        <w:rPr>
          <w:rFonts w:ascii="GillSans" w:hAnsi="GillSans"/>
          <w:sz w:val="22"/>
          <w:szCs w:val="22"/>
        </w:rPr>
        <w:t xml:space="preserve"> </w:t>
      </w:r>
      <w:r w:rsidRPr="00B03126">
        <w:rPr>
          <w:rFonts w:ascii="GillSans" w:hAnsi="GillSans"/>
          <w:sz w:val="22"/>
          <w:szCs w:val="22"/>
        </w:rPr>
        <w:t xml:space="preserve">An beiden Seiten gibt es motorisch verfahrbare Leinwände für Projektoren. Eine </w:t>
      </w:r>
      <w:r w:rsidRPr="00B03126">
        <w:rPr>
          <w:rFonts w:ascii="GillSans" w:hAnsi="GillSans"/>
          <w:sz w:val="22"/>
          <w:szCs w:val="22"/>
        </w:rPr>
        <w:t>Crestron-Mediensteuerung</w:t>
      </w:r>
      <w:r w:rsidRPr="00B03126">
        <w:rPr>
          <w:rFonts w:ascii="GillSans" w:hAnsi="GillSans"/>
          <w:sz w:val="22"/>
          <w:szCs w:val="22"/>
        </w:rPr>
        <w:t xml:space="preserve"> mit Touchpanel ermöglicht die Umschaltung der Projektionsrichtung. Darüber hinaus wählt der Nutzer seine Audio- und Videosignalquellen aus (zwei Bodentanks, Medienplayer im Technikraum). Ein Normal-Nutzer-Modus ermöglicht hier eine weitgehend automatisierte Bedienung basierend auf Nutzungs-Szenarien. Im Passwort geschützten Techniker-Modus sind viele darüber hinausgehende Steuerparameter zugänglich.</w:t>
      </w:r>
      <w:r>
        <w:rPr>
          <w:rFonts w:ascii="GillSans" w:hAnsi="GillSans"/>
          <w:sz w:val="22"/>
          <w:szCs w:val="22"/>
        </w:rPr>
        <w:t xml:space="preserve"> Die </w:t>
      </w:r>
      <w:r w:rsidRPr="00B03126">
        <w:rPr>
          <w:rFonts w:ascii="GillSans" w:hAnsi="GillSans"/>
          <w:sz w:val="22"/>
          <w:szCs w:val="22"/>
        </w:rPr>
        <w:t>Dozenten werden über Sennheiser-Funkmikrofone hörbar gemacht.</w:t>
      </w:r>
      <w:r>
        <w:rPr>
          <w:rFonts w:ascii="GillSans" w:hAnsi="GillSans"/>
          <w:sz w:val="22"/>
          <w:szCs w:val="22"/>
        </w:rPr>
        <w:t xml:space="preserve"> </w:t>
      </w:r>
    </w:p>
    <w:p w:rsidR="00B03126" w:rsidRDefault="00B03126" w:rsidP="00B03126">
      <w:pPr>
        <w:pStyle w:val="StandardWeb"/>
        <w:spacing w:line="276" w:lineRule="auto"/>
        <w:rPr>
          <w:rFonts w:ascii="GillSans" w:hAnsi="GillSans"/>
          <w:sz w:val="22"/>
          <w:szCs w:val="22"/>
        </w:rPr>
      </w:pPr>
      <w:r w:rsidRPr="00B03126">
        <w:rPr>
          <w:rFonts w:ascii="GillSans" w:hAnsi="GillSans"/>
          <w:sz w:val="22"/>
          <w:szCs w:val="22"/>
        </w:rPr>
        <w:t xml:space="preserve">„Wir freuen uns, dass in diesem wirklich runden medientechnischen Auftrag einige neue und innovative Produkte zum Einsatz kommen konnten, so z.B. die Yamaha MTX Kreuzschienen und die </w:t>
      </w:r>
      <w:r w:rsidRPr="00B03126">
        <w:rPr>
          <w:rFonts w:ascii="GillSans" w:hAnsi="GillSans"/>
          <w:sz w:val="22"/>
          <w:szCs w:val="22"/>
        </w:rPr>
        <w:t>d&amp;b audiotechnik</w:t>
      </w:r>
      <w:r w:rsidRPr="00B03126">
        <w:rPr>
          <w:rFonts w:ascii="GillSans" w:hAnsi="GillSans"/>
          <w:sz w:val="22"/>
          <w:szCs w:val="22"/>
        </w:rPr>
        <w:t xml:space="preserve"> 24C Säulenlautsprecher. Das Vertrauen hat sich ausgezahlt, denn besonders die schwierigen akustischen Verhältnisse im Veranstaltungssaal können somit erfolgreich ausgeglichen werden“, so </w:t>
      </w:r>
      <w:r w:rsidRPr="00B03126">
        <w:rPr>
          <w:rFonts w:ascii="GillSans" w:hAnsi="GillSans"/>
          <w:sz w:val="22"/>
          <w:szCs w:val="22"/>
        </w:rPr>
        <w:t>Carsten Land</w:t>
      </w:r>
      <w:r w:rsidRPr="00B03126">
        <w:rPr>
          <w:rFonts w:ascii="GillSans" w:hAnsi="GillSans"/>
          <w:sz w:val="22"/>
          <w:szCs w:val="22"/>
        </w:rPr>
        <w:t xml:space="preserve">, Projektleiter bei </w:t>
      </w:r>
      <w:r w:rsidRPr="00B03126">
        <w:rPr>
          <w:rFonts w:ascii="GillSans" w:hAnsi="GillSans"/>
          <w:sz w:val="22"/>
          <w:szCs w:val="22"/>
        </w:rPr>
        <w:t>thomann Audio Professionell</w:t>
      </w:r>
      <w:r w:rsidRPr="00B03126">
        <w:rPr>
          <w:rFonts w:ascii="GillSans" w:hAnsi="GillSans"/>
          <w:sz w:val="22"/>
          <w:szCs w:val="22"/>
        </w:rPr>
        <w:t>.</w:t>
      </w:r>
    </w:p>
    <w:p w:rsidR="006C1023" w:rsidRDefault="006C1023" w:rsidP="00B03126">
      <w:pPr>
        <w:widowControl w:val="0"/>
        <w:tabs>
          <w:tab w:val="left" w:pos="5401"/>
        </w:tabs>
        <w:ind w:right="-283"/>
        <w:rPr>
          <w:rFonts w:ascii="GillSans" w:hAnsi="GillSans" w:cs="Arial"/>
        </w:rPr>
      </w:pPr>
    </w:p>
    <w:p w:rsidR="00B03126" w:rsidRDefault="00B03126" w:rsidP="00B03126">
      <w:pPr>
        <w:widowControl w:val="0"/>
        <w:tabs>
          <w:tab w:val="left" w:pos="5401"/>
        </w:tabs>
        <w:ind w:right="-283"/>
        <w:rPr>
          <w:rFonts w:ascii="GillSans" w:hAnsi="GillSans" w:cs="Arial"/>
        </w:rPr>
      </w:pPr>
    </w:p>
    <w:p w:rsidR="00B03126" w:rsidRDefault="00B03126" w:rsidP="00B03126">
      <w:pPr>
        <w:widowControl w:val="0"/>
        <w:tabs>
          <w:tab w:val="left" w:pos="5401"/>
        </w:tabs>
        <w:ind w:right="-283"/>
        <w:rPr>
          <w:rFonts w:ascii="GillSans" w:hAnsi="GillSans" w:cs="Arial"/>
        </w:rPr>
      </w:pPr>
    </w:p>
    <w:p w:rsidR="00B03126" w:rsidRDefault="00B03126" w:rsidP="00B03126">
      <w:pPr>
        <w:widowControl w:val="0"/>
        <w:tabs>
          <w:tab w:val="left" w:pos="5401"/>
        </w:tabs>
        <w:ind w:right="-283"/>
        <w:rPr>
          <w:rFonts w:ascii="GillSans" w:hAnsi="GillSans" w:cs="Arial"/>
        </w:rPr>
      </w:pPr>
    </w:p>
    <w:p w:rsidR="00B03126" w:rsidRDefault="00B03126" w:rsidP="00B03126">
      <w:pPr>
        <w:widowControl w:val="0"/>
        <w:tabs>
          <w:tab w:val="left" w:pos="5401"/>
        </w:tabs>
        <w:ind w:right="-283"/>
        <w:rPr>
          <w:rFonts w:ascii="GillSans" w:hAnsi="GillSans" w:cs="Arial"/>
        </w:rPr>
      </w:pPr>
    </w:p>
    <w:p w:rsidR="00B03126" w:rsidRPr="006C1023" w:rsidRDefault="00B03126" w:rsidP="00B03126">
      <w:pPr>
        <w:widowControl w:val="0"/>
        <w:tabs>
          <w:tab w:val="left" w:pos="5401"/>
        </w:tabs>
        <w:ind w:right="-283"/>
        <w:rPr>
          <w:rFonts w:ascii="GillSans" w:hAnsi="GillSans" w:cs="Arial"/>
        </w:rPr>
      </w:pPr>
    </w:p>
    <w:p w:rsidR="005E5241" w:rsidRPr="000B4F7E" w:rsidRDefault="003107EC" w:rsidP="005E5241">
      <w:pPr>
        <w:rPr>
          <w:rFonts w:ascii="GillSans-Bold" w:hAnsi="GillSans-Bold"/>
        </w:rPr>
      </w:pPr>
      <w:r>
        <w:rPr>
          <w:rFonts w:ascii="GillSans-Bold" w:hAnsi="GillSans-Bold"/>
        </w:rPr>
        <w:lastRenderedPageBreak/>
        <w:t>Über t</w:t>
      </w:r>
      <w:r w:rsidR="005E5241" w:rsidRPr="000B4F7E">
        <w:rPr>
          <w:rFonts w:ascii="GillSans-Bold" w:hAnsi="GillSans-Bold"/>
        </w:rPr>
        <w: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 xml:space="preserve">sowie den Vertrieb und die Installation der dafür erforderlichen Produkte und natürlich die Dokumentation und die Wartung der Anlagen zur Gewährleistung eines sicheren Betriebsablaufs. Zu den Kunden von </w:t>
      </w:r>
      <w:r w:rsidR="003107EC">
        <w:rPr>
          <w:rFonts w:ascii="GillSans" w:hAnsi="GillSans"/>
        </w:rPr>
        <w:t>t</w:t>
      </w:r>
      <w:r w:rsidRPr="000B4F7E">
        <w:rPr>
          <w:rFonts w:ascii="GillSans" w:hAnsi="GillSans"/>
        </w:rPr>
        <w: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B03126" w:rsidRDefault="00B03126" w:rsidP="005E5241">
      <w:pPr>
        <w:rPr>
          <w:rFonts w:ascii="GillSans" w:hAnsi="GillSans"/>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Musikhaus Thomann e.K.</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Pr="00B03126" w:rsidRDefault="000B4F7E">
      <w:pPr>
        <w:rPr>
          <w:rFonts w:ascii="GillSans" w:hAnsi="GillSans"/>
          <w:b/>
        </w:rPr>
      </w:pPr>
    </w:p>
    <w:p w:rsidR="004E52B8" w:rsidRPr="00B03126" w:rsidRDefault="004E52B8">
      <w:pPr>
        <w:rPr>
          <w:rFonts w:ascii="GillSans" w:hAnsi="GillSans"/>
          <w:b/>
        </w:rPr>
      </w:pPr>
      <w:r w:rsidRPr="00B03126">
        <w:rPr>
          <w:rFonts w:ascii="GillSans" w:hAnsi="GillSans"/>
          <w:b/>
        </w:rPr>
        <w:t xml:space="preserve">Anhang: </w:t>
      </w:r>
    </w:p>
    <w:p w:rsidR="009258CD" w:rsidRDefault="00B03126" w:rsidP="009258CD">
      <w:pPr>
        <w:rPr>
          <w:rFonts w:ascii="GillSans" w:hAnsi="GillSans"/>
        </w:rPr>
      </w:pPr>
      <w:r>
        <w:rPr>
          <w:rFonts w:ascii="GillSans" w:hAnsi="GillSans"/>
        </w:rPr>
        <w:t>Veranstaltungssaal_AVM</w:t>
      </w:r>
      <w:r w:rsidR="007D2EF8">
        <w:rPr>
          <w:rFonts w:ascii="GillSans" w:hAnsi="GillSans"/>
        </w:rPr>
        <w:t>_01</w:t>
      </w:r>
      <w:r w:rsidR="0062620A">
        <w:rPr>
          <w:rFonts w:ascii="GillSans" w:hAnsi="GillSans"/>
        </w:rPr>
        <w:t>.jpg</w:t>
      </w:r>
      <w:r w:rsidR="007D2EF8">
        <w:rPr>
          <w:rFonts w:ascii="GillSans" w:hAnsi="GillSans"/>
        </w:rPr>
        <w:br/>
      </w:r>
      <w:r>
        <w:rPr>
          <w:rFonts w:ascii="GillSans" w:hAnsi="GillSans"/>
        </w:rPr>
        <w:t>Veranstaltungssaal_AVM</w:t>
      </w:r>
      <w:r>
        <w:rPr>
          <w:rFonts w:ascii="GillSans" w:hAnsi="GillSans"/>
        </w:rPr>
        <w:t>_</w:t>
      </w:r>
      <w:r w:rsidR="007D2EF8">
        <w:rPr>
          <w:rFonts w:ascii="GillSans" w:hAnsi="GillSans"/>
        </w:rPr>
        <w:t>02.jpg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4B" w:rsidRDefault="00071F4B">
      <w:r>
        <w:separator/>
      </w:r>
    </w:p>
  </w:endnote>
  <w:endnote w:type="continuationSeparator" w:id="0">
    <w:p w:rsidR="00071F4B" w:rsidRDefault="0007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B03126" w:rsidP="000B4F7E">
    <w:pPr>
      <w:rPr>
        <w:rFonts w:ascii="GillSans-Bold" w:hAnsi="GillSans-Bold" w:cs="Arial"/>
        <w:sz w:val="18"/>
        <w:szCs w:val="20"/>
      </w:rPr>
    </w:pPr>
    <w:r w:rsidRPr="00B03126">
      <w:rPr>
        <w:rFonts w:ascii="GillSans-Bold" w:hAnsi="GillSans-Bold"/>
        <w:sz w:val="18"/>
        <w:szCs w:val="18"/>
      </w:rPr>
      <w:t>Medientechnische Installation im Therapiezentrum der AVM gGmbH</w:t>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4B" w:rsidRDefault="00071F4B">
      <w:r>
        <w:separator/>
      </w:r>
    </w:p>
  </w:footnote>
  <w:footnote w:type="continuationSeparator" w:id="0">
    <w:p w:rsidR="00071F4B" w:rsidRDefault="0007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01364"/>
    <w:rsid w:val="000113C2"/>
    <w:rsid w:val="00053F95"/>
    <w:rsid w:val="00065C86"/>
    <w:rsid w:val="00071F4B"/>
    <w:rsid w:val="000B4F7E"/>
    <w:rsid w:val="000F3FEC"/>
    <w:rsid w:val="00132AAA"/>
    <w:rsid w:val="00160FF1"/>
    <w:rsid w:val="00192604"/>
    <w:rsid w:val="001D665E"/>
    <w:rsid w:val="002031A7"/>
    <w:rsid w:val="00254E6A"/>
    <w:rsid w:val="002B3BB6"/>
    <w:rsid w:val="002D35C0"/>
    <w:rsid w:val="003107EC"/>
    <w:rsid w:val="003433B6"/>
    <w:rsid w:val="00413F3F"/>
    <w:rsid w:val="004E52B8"/>
    <w:rsid w:val="0050638A"/>
    <w:rsid w:val="005C5D58"/>
    <w:rsid w:val="005D1DB3"/>
    <w:rsid w:val="005E5241"/>
    <w:rsid w:val="00620DAA"/>
    <w:rsid w:val="00622D98"/>
    <w:rsid w:val="0062620A"/>
    <w:rsid w:val="00644DAD"/>
    <w:rsid w:val="006532B1"/>
    <w:rsid w:val="00673DC1"/>
    <w:rsid w:val="00680352"/>
    <w:rsid w:val="00691B0D"/>
    <w:rsid w:val="00693C7D"/>
    <w:rsid w:val="006A1818"/>
    <w:rsid w:val="006A4537"/>
    <w:rsid w:val="006C1023"/>
    <w:rsid w:val="00771BDA"/>
    <w:rsid w:val="0079736C"/>
    <w:rsid w:val="007D2EF8"/>
    <w:rsid w:val="007F2E66"/>
    <w:rsid w:val="00854B8D"/>
    <w:rsid w:val="009258CD"/>
    <w:rsid w:val="009556BB"/>
    <w:rsid w:val="00957B27"/>
    <w:rsid w:val="009B4024"/>
    <w:rsid w:val="00A30881"/>
    <w:rsid w:val="00A94E88"/>
    <w:rsid w:val="00B03126"/>
    <w:rsid w:val="00B06D29"/>
    <w:rsid w:val="00B31980"/>
    <w:rsid w:val="00B6362E"/>
    <w:rsid w:val="00BD317A"/>
    <w:rsid w:val="00C8178B"/>
    <w:rsid w:val="00C9100B"/>
    <w:rsid w:val="00CC0B34"/>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B03126"/>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B03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8036">
      <w:bodyDiv w:val="1"/>
      <w:marLeft w:val="0"/>
      <w:marRight w:val="0"/>
      <w:marTop w:val="0"/>
      <w:marBottom w:val="0"/>
      <w:divBdr>
        <w:top w:val="none" w:sz="0" w:space="0" w:color="auto"/>
        <w:left w:val="none" w:sz="0" w:space="0" w:color="auto"/>
        <w:bottom w:val="none" w:sz="0" w:space="0" w:color="auto"/>
        <w:right w:val="none" w:sz="0" w:space="0" w:color="auto"/>
      </w:divBdr>
      <w:divsChild>
        <w:div w:id="958343706">
          <w:marLeft w:val="0"/>
          <w:marRight w:val="0"/>
          <w:marTop w:val="0"/>
          <w:marBottom w:val="0"/>
          <w:divBdr>
            <w:top w:val="none" w:sz="0" w:space="0" w:color="auto"/>
            <w:left w:val="none" w:sz="0" w:space="0" w:color="auto"/>
            <w:bottom w:val="none" w:sz="0" w:space="0" w:color="auto"/>
            <w:right w:val="none" w:sz="0" w:space="0" w:color="auto"/>
          </w:divBdr>
        </w:div>
      </w:divsChild>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2</cp:revision>
  <cp:lastPrinted>2014-11-13T06:03:00Z</cp:lastPrinted>
  <dcterms:created xsi:type="dcterms:W3CDTF">2015-07-14T04:55:00Z</dcterms:created>
  <dcterms:modified xsi:type="dcterms:W3CDTF">2015-07-14T04:55:00Z</dcterms:modified>
</cp:coreProperties>
</file>