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B11BF0" w:rsidRPr="00B11BF0" w:rsidRDefault="00B11BF0" w:rsidP="00B11BF0">
      <w:pPr>
        <w:rPr>
          <w:rFonts w:ascii="GillSans-Bold" w:hAnsi="GillSans-Bold" w:cstheme="minorHAnsi"/>
          <w:sz w:val="28"/>
          <w:szCs w:val="28"/>
        </w:rPr>
      </w:pPr>
      <w:r w:rsidRPr="00B11BF0">
        <w:rPr>
          <w:rFonts w:ascii="GillSans-Bold" w:hAnsi="GillSans-Bold" w:cstheme="minorHAnsi"/>
          <w:sz w:val="28"/>
          <w:szCs w:val="28"/>
        </w:rPr>
        <w:t>Altes Stadttheater Eichstätt erhält ein digitales Yamaha QL5 Mischpult</w:t>
      </w:r>
    </w:p>
    <w:p w:rsidR="00B11BF0" w:rsidRPr="00B11BF0" w:rsidRDefault="00D842F1" w:rsidP="00B11BF0">
      <w:pPr>
        <w:pStyle w:val="intro"/>
        <w:spacing w:line="276" w:lineRule="auto"/>
        <w:rPr>
          <w:rFonts w:ascii="GillSans" w:hAnsi="GillSans" w:cstheme="minorHAnsi"/>
          <w:sz w:val="22"/>
          <w:szCs w:val="22"/>
        </w:rPr>
      </w:pPr>
      <w:r>
        <w:rPr>
          <w:rFonts w:ascii="GillSans-Bold" w:hAnsi="GillSans-Bold"/>
          <w:b/>
          <w:sz w:val="28"/>
          <w:szCs w:val="28"/>
        </w:rPr>
        <w:t>‚</w:t>
      </w:r>
      <w:r>
        <w:rPr>
          <w:rFonts w:ascii="GillSans-Bold" w:hAnsi="GillSans-Bold"/>
          <w:b/>
          <w:sz w:val="28"/>
          <w:szCs w:val="28"/>
        </w:rPr>
        <w:br/>
      </w:r>
      <w:r w:rsidR="00B11BF0">
        <w:rPr>
          <w:rFonts w:ascii="GillSans-Bold" w:hAnsi="GillSans-Bold"/>
        </w:rPr>
        <w:t>Treppendorf, 17</w:t>
      </w:r>
      <w:r w:rsidRPr="00487868">
        <w:rPr>
          <w:rFonts w:ascii="GillSans-Bold" w:hAnsi="GillSans-Bold"/>
          <w:sz w:val="22"/>
        </w:rPr>
        <w:t>.12</w:t>
      </w:r>
      <w:r w:rsidR="00D05ED9" w:rsidRPr="00487868">
        <w:rPr>
          <w:rFonts w:ascii="GillSans-Bold" w:hAnsi="GillSans-Bold"/>
          <w:sz w:val="22"/>
        </w:rPr>
        <w:t>.2015:</w:t>
      </w:r>
      <w:r w:rsidR="00D05ED9" w:rsidRPr="00487868">
        <w:rPr>
          <w:rFonts w:ascii="GillSans" w:hAnsi="GillSans"/>
          <w:sz w:val="22"/>
        </w:rPr>
        <w:t xml:space="preserve"> </w:t>
      </w:r>
      <w:r w:rsidR="00B11BF0" w:rsidRPr="00B11BF0">
        <w:rPr>
          <w:rFonts w:ascii="GillSans" w:hAnsi="GillSans" w:cstheme="minorHAnsi"/>
          <w:sz w:val="22"/>
          <w:szCs w:val="22"/>
        </w:rPr>
        <w:t xml:space="preserve">Das Alte Stadttheater ist das zentrale Haus in Eichstätts Altstadt für eine Vielzahl an Veranstaltungen - durch seine </w:t>
      </w:r>
      <w:r w:rsidR="00B11BF0" w:rsidRPr="00B11BF0">
        <w:rPr>
          <w:rStyle w:val="Fett"/>
          <w:rFonts w:ascii="GillSans" w:hAnsi="GillSans" w:cstheme="minorHAnsi"/>
          <w:b w:val="0"/>
          <w:sz w:val="22"/>
          <w:szCs w:val="22"/>
        </w:rPr>
        <w:t>Raumvielfalt</w:t>
      </w:r>
      <w:r w:rsidR="00B11BF0" w:rsidRPr="00B11BF0">
        <w:rPr>
          <w:rFonts w:ascii="GillSans" w:hAnsi="GillSans" w:cstheme="minorHAnsi"/>
          <w:sz w:val="22"/>
          <w:szCs w:val="22"/>
        </w:rPr>
        <w:t xml:space="preserve"> ermöglicht das Alte Stadttheater eine große Bandbreite an Möglichkeiten. Konzentriertes Arbeiten, stimmungsvolles Familienfest, unvergessliche Hochzeit oder rauschende Party: Das Alte Stadttheater wird zur </w:t>
      </w:r>
      <w:r w:rsidR="00B11BF0" w:rsidRPr="00B11BF0">
        <w:rPr>
          <w:rStyle w:val="Fett"/>
          <w:rFonts w:ascii="GillSans" w:hAnsi="GillSans" w:cstheme="minorHAnsi"/>
          <w:b w:val="0"/>
          <w:sz w:val="22"/>
          <w:szCs w:val="22"/>
        </w:rPr>
        <w:t>Bühne für jeden Anlass</w:t>
      </w:r>
      <w:r w:rsidR="00B11BF0" w:rsidRPr="00B11BF0">
        <w:rPr>
          <w:rFonts w:ascii="GillSans" w:hAnsi="GillSans" w:cstheme="minorHAnsi"/>
          <w:sz w:val="22"/>
          <w:szCs w:val="22"/>
        </w:rPr>
        <w:t>.</w:t>
      </w:r>
    </w:p>
    <w:p w:rsidR="00B11BF0" w:rsidRPr="00B11BF0" w:rsidRDefault="00B11BF0" w:rsidP="00B11BF0">
      <w:pPr>
        <w:pStyle w:val="intro"/>
        <w:spacing w:line="276" w:lineRule="auto"/>
        <w:rPr>
          <w:rFonts w:ascii="GillSans" w:hAnsi="GillSans" w:cstheme="minorHAnsi"/>
          <w:sz w:val="22"/>
          <w:szCs w:val="22"/>
        </w:rPr>
      </w:pPr>
      <w:r w:rsidRPr="00B11BF0">
        <w:rPr>
          <w:rFonts w:ascii="GillSans" w:hAnsi="GillSans" w:cstheme="minorHAnsi"/>
          <w:sz w:val="22"/>
          <w:szCs w:val="22"/>
        </w:rPr>
        <w:t xml:space="preserve">Das Team vom Alten Stadttheater Eichstätt trat an Rolf Nebel, Abteilungsleiter bei </w:t>
      </w:r>
      <w:proofErr w:type="spellStart"/>
      <w:r w:rsidRPr="00B11BF0">
        <w:rPr>
          <w:rFonts w:ascii="GillSans" w:hAnsi="GillSans" w:cstheme="minorHAnsi"/>
          <w:sz w:val="22"/>
          <w:szCs w:val="22"/>
        </w:rPr>
        <w:t>thomann</w:t>
      </w:r>
      <w:proofErr w:type="spellEnd"/>
      <w:r w:rsidRPr="00B11BF0">
        <w:rPr>
          <w:rFonts w:ascii="GillSans" w:hAnsi="GillSans" w:cstheme="minorHAnsi"/>
          <w:sz w:val="22"/>
          <w:szCs w:val="22"/>
        </w:rPr>
        <w:t xml:space="preserve"> Audio Professionell mit der Bitte heran ein geeignetes digitales Mischpult zu empfehlen, welches das vorhandene analoge Mischpult mit externen Effekten ersetzen sollte.</w:t>
      </w:r>
    </w:p>
    <w:p w:rsidR="00B11BF0" w:rsidRPr="00B11BF0" w:rsidRDefault="00B11BF0" w:rsidP="00B11BF0">
      <w:pPr>
        <w:rPr>
          <w:rFonts w:ascii="GillSans" w:hAnsi="GillSans" w:cstheme="minorHAnsi"/>
        </w:rPr>
      </w:pPr>
      <w:r w:rsidRPr="00B11BF0">
        <w:rPr>
          <w:rFonts w:ascii="GillSans" w:hAnsi="GillSans" w:cstheme="minorHAnsi"/>
        </w:rPr>
        <w:t>Hierbei mussten wesentliche Gegebenheiten vor Ort beachtet werden: Das Alte Stadttheater Eichstätt beherbergt kein festes Ensemble mehr und wird vorrangig als Veranstaltungshaus genutzt, daher sollte das neue digitale Mischpult einfach und schnell auch von externen Technikern bedienbar sein und natürlich eine Schnittstelle z</w:t>
      </w:r>
      <w:r>
        <w:rPr>
          <w:rFonts w:ascii="GillSans" w:hAnsi="GillSans" w:cstheme="minorHAnsi"/>
        </w:rPr>
        <w:t>u bereits vorhandenem Equipment</w:t>
      </w:r>
      <w:r w:rsidRPr="00B11BF0">
        <w:rPr>
          <w:rFonts w:ascii="GillSans" w:hAnsi="GillSans" w:cstheme="minorHAnsi"/>
        </w:rPr>
        <w:t xml:space="preserve"> bieten.</w:t>
      </w:r>
    </w:p>
    <w:p w:rsidR="00B11BF0" w:rsidRPr="00B11BF0" w:rsidRDefault="00B11BF0" w:rsidP="00B11BF0">
      <w:pPr>
        <w:rPr>
          <w:rFonts w:ascii="GillSans" w:hAnsi="GillSans" w:cstheme="minorHAnsi"/>
        </w:rPr>
      </w:pPr>
      <w:r w:rsidRPr="00B11BF0">
        <w:rPr>
          <w:rFonts w:ascii="GillSans" w:hAnsi="GillSans" w:cstheme="minorHAnsi"/>
        </w:rPr>
        <w:t xml:space="preserve">Als perfekte Lösung stellte sich das digitale </w:t>
      </w:r>
      <w:r>
        <w:rPr>
          <w:rFonts w:ascii="GillSans" w:hAnsi="GillSans" w:cstheme="minorHAnsi"/>
        </w:rPr>
        <w:t xml:space="preserve">Mischpult QL5 von Yamaha heraus. Die Vielfalt an Nutzungsmöglichkeiten und die intuitive Bedienung sowie die Einbindung in die bereits bestehende Technik waren ausschlaggebende Kriterien für diese Mischpultwahl. </w:t>
      </w:r>
    </w:p>
    <w:p w:rsidR="00B11BF0" w:rsidRPr="00B11BF0" w:rsidRDefault="00B11BF0" w:rsidP="00B11BF0">
      <w:pPr>
        <w:rPr>
          <w:rFonts w:ascii="GillSans" w:hAnsi="GillSans" w:cstheme="minorHAnsi"/>
        </w:rPr>
      </w:pPr>
      <w:r w:rsidRPr="00B11BF0">
        <w:rPr>
          <w:rFonts w:ascii="GillSans" w:hAnsi="GillSans" w:cstheme="minorHAnsi"/>
        </w:rPr>
        <w:t xml:space="preserve">Die Einarbeitung ins neue Digitalmischpult gestaltete sich für die Hallentechniker Albert </w:t>
      </w:r>
      <w:r>
        <w:rPr>
          <w:rFonts w:ascii="GillSans" w:hAnsi="GillSans" w:cstheme="minorHAnsi"/>
        </w:rPr>
        <w:t xml:space="preserve">Weber </w:t>
      </w:r>
      <w:r w:rsidRPr="00B11BF0">
        <w:rPr>
          <w:rFonts w:ascii="GillSans" w:hAnsi="GillSans" w:cstheme="minorHAnsi"/>
        </w:rPr>
        <w:t>und Thomas</w:t>
      </w:r>
      <w:r>
        <w:rPr>
          <w:rFonts w:ascii="GillSans" w:hAnsi="GillSans" w:cstheme="minorHAnsi"/>
        </w:rPr>
        <w:t xml:space="preserve"> </w:t>
      </w:r>
      <w:proofErr w:type="spellStart"/>
      <w:r>
        <w:rPr>
          <w:rFonts w:ascii="GillSans" w:hAnsi="GillSans" w:cstheme="minorHAnsi"/>
        </w:rPr>
        <w:t>Jenuwein</w:t>
      </w:r>
      <w:proofErr w:type="spellEnd"/>
      <w:r w:rsidRPr="00B11BF0">
        <w:rPr>
          <w:rFonts w:ascii="GillSans" w:hAnsi="GillSans" w:cstheme="minorHAnsi"/>
        </w:rPr>
        <w:t xml:space="preserve"> vom Alten Stadttheater Eichstätt sehr einfach, da sich das Pult so intuitiv wie ein analoges Pult bedienen lässt. Die 8 Effekt-Racks und der übersichtliche Touchscreen haben die hauseigenen Hallentechniker Albert und Thomas ebenfalls überzeugt.</w:t>
      </w:r>
    </w:p>
    <w:p w:rsidR="00B11BF0" w:rsidRPr="00B11BF0" w:rsidRDefault="00B11BF0" w:rsidP="00B11BF0">
      <w:pPr>
        <w:rPr>
          <w:rFonts w:ascii="GillSans" w:hAnsi="GillSans" w:cstheme="minorHAnsi"/>
        </w:rPr>
      </w:pPr>
      <w:r w:rsidRPr="00B11BF0">
        <w:rPr>
          <w:rFonts w:ascii="GillSans" w:hAnsi="GillSans" w:cstheme="minorHAnsi"/>
        </w:rPr>
        <w:t xml:space="preserve">Ein weiteres besonderes Feature dieses digitalen Mischpultes ist die leichte Bedienbarkeit über das Apple iPad. </w:t>
      </w:r>
      <w:r w:rsidR="004F731B" w:rsidRPr="004F731B">
        <w:rPr>
          <w:rFonts w:ascii="GillSans" w:hAnsi="GillSans"/>
        </w:rPr>
        <w:t>Die Fernbedienung über das iPad erweist sich für die Techniker vor Ort als praktikabel.</w:t>
      </w:r>
    </w:p>
    <w:p w:rsidR="00B11BF0" w:rsidRPr="00B11BF0" w:rsidRDefault="00CB4232" w:rsidP="00B11BF0">
      <w:pPr>
        <w:rPr>
          <w:rFonts w:ascii="GillSans" w:hAnsi="GillSans" w:cstheme="minorHAnsi"/>
        </w:rPr>
      </w:pPr>
      <w:r>
        <w:rPr>
          <w:rFonts w:ascii="GillSans" w:hAnsi="GillSans" w:cstheme="minorHAnsi"/>
        </w:rPr>
        <w:t xml:space="preserve">„Wir freuen uns sehr, dass Albert und Thomas mit unserer Beratung zufrieden waren und mit der Wahl und Lieferung des digitales Mischpultes Yamaha QL5 durch uns mehr als glücklich sind“, so Rolf Nebel,  Abteilungsleiter </w:t>
      </w:r>
      <w:r w:rsidR="002F6152">
        <w:rPr>
          <w:rFonts w:ascii="GillSans" w:hAnsi="GillSans" w:cstheme="minorHAnsi"/>
        </w:rPr>
        <w:t xml:space="preserve">bei </w:t>
      </w:r>
      <w:proofErr w:type="spellStart"/>
      <w:r>
        <w:rPr>
          <w:rFonts w:ascii="GillSans" w:hAnsi="GillSans" w:cstheme="minorHAnsi"/>
        </w:rPr>
        <w:t>thomann</w:t>
      </w:r>
      <w:proofErr w:type="spellEnd"/>
      <w:r>
        <w:rPr>
          <w:rFonts w:ascii="GillSans" w:hAnsi="GillSans" w:cstheme="minorHAnsi"/>
        </w:rPr>
        <w:t xml:space="preserve"> Audio Professionell.</w:t>
      </w:r>
    </w:p>
    <w:p w:rsidR="006C1023" w:rsidRDefault="006C1023" w:rsidP="00B11BF0">
      <w:pPr>
        <w:rPr>
          <w:rFonts w:ascii="GillSans" w:hAnsi="GillSans" w:cs="Arial"/>
        </w:rPr>
      </w:pPr>
    </w:p>
    <w:p w:rsidR="00E75D0B" w:rsidRDefault="00E75D0B" w:rsidP="00B11BF0">
      <w:pPr>
        <w:rPr>
          <w:rFonts w:ascii="GillSans" w:hAnsi="GillSans" w:cs="Arial"/>
        </w:rPr>
      </w:pPr>
      <w:bookmarkStart w:id="0" w:name="_GoBack"/>
      <w:bookmarkEnd w:id="0"/>
    </w:p>
    <w:p w:rsidR="00FE365E" w:rsidRDefault="00FE365E" w:rsidP="00FE365E">
      <w:pPr>
        <w:rPr>
          <w:rFonts w:ascii="GillSans" w:hAnsi="GillSans" w:cs="Arial"/>
        </w:rPr>
      </w:pPr>
    </w:p>
    <w:p w:rsidR="00CB4232" w:rsidRDefault="00CB4232" w:rsidP="005E5241">
      <w:pPr>
        <w:rPr>
          <w:rFonts w:ascii="GillSans" w:hAnsi="GillSans" w:cs="Arial"/>
        </w:rPr>
      </w:pPr>
    </w:p>
    <w:p w:rsidR="005E5241" w:rsidRPr="000B4F7E" w:rsidRDefault="005E5241" w:rsidP="005E5241">
      <w:pPr>
        <w:rPr>
          <w:rFonts w:ascii="GillSans-Bold" w:hAnsi="GillSans-Bold"/>
        </w:rPr>
      </w:pPr>
      <w:r w:rsidRPr="000B4F7E">
        <w:rPr>
          <w:rFonts w:ascii="GillSans-Bold" w:hAnsi="GillSans-Bold"/>
        </w:rPr>
        <w:lastRenderedPageBreak/>
        <w:t xml:space="preserve">Über </w:t>
      </w:r>
      <w:proofErr w:type="spellStart"/>
      <w:r w:rsidR="008A4FE6">
        <w:rPr>
          <w:rFonts w:ascii="GillSans-Bold" w:hAnsi="GillSans-Bold"/>
        </w:rPr>
        <w:t>t</w:t>
      </w:r>
      <w:r w:rsidRPr="000B4F7E">
        <w:rPr>
          <w:rFonts w:ascii="GillSans-Bold" w:hAnsi="GillSans-Bold"/>
        </w:rPr>
        <w:t>homann</w:t>
      </w:r>
      <w:proofErr w:type="spellEnd"/>
      <w:r w:rsidRPr="000B4F7E">
        <w:rPr>
          <w:rFonts w:ascii="GillSans-Bold" w:hAnsi="GillSans-Bold"/>
        </w:rPr>
        <w:t xml:space="preserve"> Audio Professionell:</w:t>
      </w:r>
    </w:p>
    <w:p w:rsidR="00FE365E" w:rsidRPr="00D842F1" w:rsidRDefault="005E5241" w:rsidP="00D842F1">
      <w:pPr>
        <w:rPr>
          <w:rFonts w:ascii="GillSans" w:hAnsi="GillSans"/>
        </w:rPr>
      </w:pPr>
      <w:r w:rsidRPr="000B4F7E">
        <w:rPr>
          <w:rFonts w:ascii="GillSans" w:hAnsi="GillSans"/>
        </w:rPr>
        <w:t>Seit übe</w:t>
      </w:r>
      <w:r w:rsidR="003420E2">
        <w:rPr>
          <w:rFonts w:ascii="GillSans" w:hAnsi="GillSans"/>
        </w:rPr>
        <w:t xml:space="preserve">r 15 Jahren ist das Systemhaus </w:t>
      </w:r>
      <w:proofErr w:type="spellStart"/>
      <w:r w:rsidR="003420E2">
        <w:rPr>
          <w:rFonts w:ascii="GillSans" w:hAnsi="GillSans"/>
        </w:rPr>
        <w:t>t</w:t>
      </w:r>
      <w:r w:rsidRPr="000B4F7E">
        <w:rPr>
          <w:rFonts w:ascii="GillSans" w:hAnsi="GillSans"/>
        </w:rPr>
        <w:t>homann</w:t>
      </w:r>
      <w:proofErr w:type="spellEnd"/>
      <w:r w:rsidRPr="000B4F7E">
        <w:rPr>
          <w:rFonts w:ascii="GillSans" w:hAnsi="GillSans"/>
        </w:rPr>
        <w:t xml:space="preserve">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FE365E" w:rsidRDefault="00FE365E" w:rsidP="000B4F7E">
      <w:pPr>
        <w:spacing w:before="100" w:beforeAutospacing="1" w:after="100" w:afterAutospacing="1" w:line="240" w:lineRule="auto"/>
        <w:rPr>
          <w:rFonts w:ascii="GillSans" w:eastAsia="Times New Roman" w:hAnsi="GillSans" w:cs="Times New Roman"/>
          <w:b/>
          <w:szCs w:val="20"/>
          <w:lang w:eastAsia="de-DE"/>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00FE365E">
        <w:rPr>
          <w:rFonts w:ascii="GillSans" w:eastAsia="Times New Roman" w:hAnsi="GillSans" w:cs="Times New Roman"/>
          <w:szCs w:val="20"/>
          <w:lang w:eastAsia="de-DE"/>
        </w:rPr>
        <w:t xml:space="preserve">Thomann GmbH - </w:t>
      </w:r>
      <w:proofErr w:type="spellStart"/>
      <w:r w:rsidR="00FE365E">
        <w:rPr>
          <w:rFonts w:ascii="GillSans" w:eastAsia="Times New Roman" w:hAnsi="GillSans" w:cs="Times New Roman"/>
          <w:szCs w:val="20"/>
          <w:lang w:eastAsia="de-DE"/>
        </w:rPr>
        <w:t>t</w:t>
      </w:r>
      <w:r w:rsidRPr="000B4F7E">
        <w:rPr>
          <w:rFonts w:ascii="GillSans" w:eastAsia="Times New Roman" w:hAnsi="GillSans" w:cs="Times New Roman"/>
          <w:szCs w:val="20"/>
          <w:lang w:eastAsia="de-DE"/>
        </w:rPr>
        <w:t>homann</w:t>
      </w:r>
      <w:proofErr w:type="spellEnd"/>
      <w:r w:rsidRPr="000B4F7E">
        <w:rPr>
          <w:rFonts w:ascii="GillSans" w:eastAsia="Times New Roman" w:hAnsi="GillSans" w:cs="Times New Roman"/>
          <w:szCs w:val="20"/>
          <w:lang w:eastAsia="de-DE"/>
        </w:rPr>
        <w:t xml:space="preserve"> Audio Professionell</w:t>
      </w:r>
      <w:r w:rsidRPr="000B4F7E">
        <w:rPr>
          <w:rFonts w:ascii="GillSans" w:eastAsia="Times New Roman" w:hAnsi="GillSans" w:cs="Times New Roman"/>
          <w:szCs w:val="20"/>
          <w:lang w:eastAsia="de-DE"/>
        </w:rPr>
        <w:br/>
      </w:r>
      <w:r w:rsidR="00FE365E">
        <w:rPr>
          <w:rFonts w:ascii="GillSans" w:eastAsia="Times New Roman" w:hAnsi="GillSans" w:cs="Times New Roman"/>
          <w:szCs w:val="20"/>
          <w:lang w:eastAsia="de-DE"/>
        </w:rPr>
        <w:t xml:space="preserve">Frau </w:t>
      </w:r>
      <w:r w:rsidRPr="000B4F7E">
        <w:rPr>
          <w:rFonts w:ascii="GillSans" w:eastAsia="Times New Roman" w:hAnsi="GillSans" w:cs="Times New Roman"/>
          <w:szCs w:val="20"/>
          <w:lang w:eastAsia="de-DE"/>
        </w:rPr>
        <w:t>Désirée Müller</w:t>
      </w:r>
      <w:r w:rsidR="00FE365E">
        <w:rPr>
          <w:rFonts w:ascii="GillSans" w:eastAsia="Times New Roman" w:hAnsi="GillSans" w:cs="Times New Roman"/>
          <w:szCs w:val="20"/>
          <w:lang w:eastAsia="de-DE"/>
        </w:rPr>
        <w:t xml:space="preserve"> </w:t>
      </w:r>
      <w:r w:rsidR="00FE365E">
        <w:rPr>
          <w:rFonts w:ascii="GillSans" w:eastAsia="Times New Roman" w:hAnsi="GillSans" w:cs="Times New Roman"/>
          <w:szCs w:val="20"/>
          <w:lang w:eastAsia="de-DE"/>
        </w:rPr>
        <w:br/>
      </w:r>
      <w:r w:rsidR="00F25395">
        <w:rPr>
          <w:rFonts w:ascii="GillSans" w:eastAsia="Times New Roman" w:hAnsi="GillSans" w:cs="Times New Roman"/>
          <w:szCs w:val="20"/>
          <w:lang w:eastAsia="de-DE"/>
        </w:rPr>
        <w:t>Marketing &amp; Kommunikation</w:t>
      </w:r>
      <w:r w:rsidR="00FE365E">
        <w:rPr>
          <w:rFonts w:ascii="GillSans" w:eastAsia="Times New Roman" w:hAnsi="GillSans" w:cs="Times New Roman"/>
          <w:szCs w:val="20"/>
          <w:lang w:eastAsia="de-DE"/>
        </w:rPr>
        <w:br/>
        <w:t>Hans-Thomann-Straße 1</w:t>
      </w:r>
      <w:r w:rsidR="00FE365E">
        <w:rPr>
          <w:rFonts w:ascii="GillSans" w:eastAsia="Times New Roman" w:hAnsi="GillSans" w:cs="Times New Roman"/>
          <w:szCs w:val="20"/>
          <w:lang w:eastAsia="de-DE"/>
        </w:rPr>
        <w:br/>
        <w:t xml:space="preserve">D-96138 </w:t>
      </w:r>
      <w:proofErr w:type="spellStart"/>
      <w:r w:rsidR="00FE365E">
        <w:rPr>
          <w:rFonts w:ascii="GillSans" w:eastAsia="Times New Roman" w:hAnsi="GillSans" w:cs="Times New Roman"/>
          <w:szCs w:val="20"/>
          <w:lang w:eastAsia="de-DE"/>
        </w:rPr>
        <w:t>Burgebrach</w:t>
      </w:r>
      <w:proofErr w:type="spellEnd"/>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Pr="00367FA8" w:rsidRDefault="004E52B8">
      <w:pPr>
        <w:rPr>
          <w:rFonts w:ascii="GillSans" w:hAnsi="GillSans"/>
          <w:b/>
        </w:rPr>
      </w:pPr>
      <w:r w:rsidRPr="00367FA8">
        <w:rPr>
          <w:rFonts w:ascii="GillSans" w:hAnsi="GillSans"/>
          <w:b/>
        </w:rPr>
        <w:t xml:space="preserve">Anhang: </w:t>
      </w:r>
    </w:p>
    <w:p w:rsidR="009258CD" w:rsidRDefault="00CB4232" w:rsidP="009258CD">
      <w:pPr>
        <w:rPr>
          <w:rFonts w:ascii="GillSans" w:hAnsi="GillSans"/>
        </w:rPr>
      </w:pPr>
      <w:r w:rsidRPr="00CB4232">
        <w:rPr>
          <w:rFonts w:ascii="GillSans" w:hAnsi="GillSans"/>
        </w:rPr>
        <w:t>AltesStadttheaterEichstätt_YamahaQL5_1200x800_01</w:t>
      </w:r>
      <w:r w:rsidR="0062620A">
        <w:rPr>
          <w:rFonts w:ascii="GillSans" w:hAnsi="GillSans"/>
        </w:rPr>
        <w:t>.jpg</w:t>
      </w:r>
      <w:r w:rsidR="00596401">
        <w:rPr>
          <w:rFonts w:ascii="GillSans" w:hAnsi="GillSans"/>
        </w:rPr>
        <w:br/>
      </w:r>
      <w:r w:rsidRPr="00CB4232">
        <w:rPr>
          <w:rFonts w:ascii="GillSans" w:hAnsi="GillSans"/>
        </w:rPr>
        <w:t>AltesStadttheate</w:t>
      </w:r>
      <w:r>
        <w:rPr>
          <w:rFonts w:ascii="GillSans" w:hAnsi="GillSans"/>
        </w:rPr>
        <w:t>rEichstätt_YamahaQL5_1200x800_</w:t>
      </w:r>
      <w:r w:rsidR="00596401">
        <w:rPr>
          <w:rFonts w:ascii="GillSans" w:hAnsi="GillSans"/>
        </w:rPr>
        <w:t>02.jpg</w:t>
      </w:r>
      <w:r w:rsidR="00336B12">
        <w:rPr>
          <w:rFonts w:ascii="GillSans" w:hAnsi="GillSans"/>
        </w:rPr>
        <w:br/>
      </w:r>
      <w:r w:rsidR="00336B12">
        <w:rPr>
          <w:rFonts w:ascii="GillSans" w:hAnsi="GillSans"/>
        </w:rPr>
        <w:br/>
      </w:r>
      <w:r w:rsidR="009258CD">
        <w:rPr>
          <w:rFonts w:ascii="GillSans" w:hAnsi="GillSans"/>
        </w:rPr>
        <w:br/>
      </w:r>
    </w:p>
    <w:p w:rsidR="00254E6A" w:rsidRDefault="00254E6A" w:rsidP="00254E6A">
      <w:pPr>
        <w:rPr>
          <w:rFonts w:ascii="GillSans" w:hAnsi="GillSans"/>
        </w:rPr>
      </w:pPr>
    </w:p>
    <w:p w:rsidR="009258CD" w:rsidRPr="000B4F7E" w:rsidRDefault="009258CD" w:rsidP="00254E6A">
      <w:pPr>
        <w:rPr>
          <w:rFonts w:ascii="GillSans" w:hAnsi="GillSans"/>
        </w:rPr>
      </w:pPr>
    </w:p>
    <w:p w:rsidR="00254E6A" w:rsidRPr="000B4F7E" w:rsidRDefault="00254E6A">
      <w:pPr>
        <w:rPr>
          <w:rFonts w:ascii="GillSans" w:hAnsi="GillSans"/>
        </w:rPr>
      </w:pPr>
    </w:p>
    <w:sectPr w:rsidR="00254E6A" w:rsidRPr="000B4F7E" w:rsidSect="0062620A">
      <w:headerReference w:type="default" r:id="rId7"/>
      <w:footerReference w:type="default" r:id="rId8"/>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1EB" w:rsidRDefault="008E41EB">
      <w:r>
        <w:separator/>
      </w:r>
    </w:p>
  </w:endnote>
  <w:endnote w:type="continuationSeparator" w:id="0">
    <w:p w:rsidR="008E41EB" w:rsidRDefault="008E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Sans-Bold">
    <w:panose1 w:val="00000000000000000000"/>
    <w:charset w:val="00"/>
    <w:family w:val="auto"/>
    <w:pitch w:val="variable"/>
    <w:sig w:usb0="00000087" w:usb1="00000000" w:usb2="00000000" w:usb3="00000000" w:csb0="0000001B" w:csb1="00000000"/>
  </w:font>
  <w:font w:name="GillSans">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CB4232" w:rsidRDefault="00CB4232" w:rsidP="000B4F7E">
    <w:pPr>
      <w:rPr>
        <w:rFonts w:ascii="GillSans" w:hAnsi="GillSans" w:cstheme="minorHAnsi"/>
        <w:sz w:val="18"/>
        <w:szCs w:val="18"/>
      </w:rPr>
    </w:pPr>
    <w:r w:rsidRPr="00CB4232">
      <w:rPr>
        <w:rFonts w:ascii="GillSans" w:hAnsi="GillSans" w:cstheme="minorHAnsi"/>
        <w:sz w:val="18"/>
        <w:szCs w:val="18"/>
      </w:rPr>
      <w:t>Altes Stadttheater Eichstätt erhält ein digitales Yamaha QL5 Mischpult</w:t>
    </w:r>
    <w:r>
      <w:rPr>
        <w:rFonts w:ascii="GillSans" w:hAnsi="GillSans" w:cstheme="minorHAnsi"/>
        <w:sz w:val="18"/>
        <w:szCs w:val="18"/>
      </w:rPr>
      <w:tab/>
    </w:r>
    <w:r>
      <w:rPr>
        <w:rFonts w:ascii="GillSans" w:hAnsi="GillSans" w:cstheme="minorHAnsi"/>
        <w:sz w:val="18"/>
        <w:szCs w:val="18"/>
      </w:rPr>
      <w:tab/>
    </w:r>
    <w:r>
      <w:rPr>
        <w:rFonts w:ascii="GillSans" w:hAnsi="GillSans" w:cstheme="minorHAnsi"/>
        <w:sz w:val="18"/>
        <w:szCs w:val="18"/>
      </w:rPr>
      <w:tab/>
    </w:r>
    <w:r>
      <w:rPr>
        <w:rFonts w:ascii="GillSans" w:hAnsi="GillSans" w:cstheme="minorHAnsi"/>
        <w:sz w:val="18"/>
        <w:szCs w:val="18"/>
      </w:rPr>
      <w:tab/>
    </w:r>
    <w:r>
      <w:rPr>
        <w:rFonts w:ascii="GillSans" w:hAnsi="GillSans" w:cstheme="minorHAnsi"/>
        <w:sz w:val="18"/>
        <w:szCs w:val="18"/>
      </w:rPr>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E75D0B">
      <w:rPr>
        <w:rStyle w:val="Seitenzahl"/>
        <w:rFonts w:ascii="GillSans" w:hAnsi="GillSans"/>
        <w:noProof/>
        <w:sz w:val="20"/>
        <w:szCs w:val="20"/>
      </w:rPr>
      <w:t>2</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E75D0B">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1EB" w:rsidRDefault="008E41EB">
      <w:r>
        <w:separator/>
      </w:r>
    </w:p>
  </w:footnote>
  <w:footnote w:type="continuationSeparator" w:id="0">
    <w:p w:rsidR="008E41EB" w:rsidRDefault="008E4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125FC"/>
    <w:multiLevelType w:val="hybridMultilevel"/>
    <w:tmpl w:val="B838B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3FEC"/>
    <w:rsid w:val="00132AAA"/>
    <w:rsid w:val="00160FF1"/>
    <w:rsid w:val="00192604"/>
    <w:rsid w:val="001D665E"/>
    <w:rsid w:val="002031A7"/>
    <w:rsid w:val="00254E6A"/>
    <w:rsid w:val="002B3BB6"/>
    <w:rsid w:val="002F6152"/>
    <w:rsid w:val="00336B12"/>
    <w:rsid w:val="003420E2"/>
    <w:rsid w:val="003433B6"/>
    <w:rsid w:val="00367FA8"/>
    <w:rsid w:val="00394394"/>
    <w:rsid w:val="003C3BA9"/>
    <w:rsid w:val="00413F3F"/>
    <w:rsid w:val="00426378"/>
    <w:rsid w:val="00487868"/>
    <w:rsid w:val="004E52B8"/>
    <w:rsid w:val="004F731B"/>
    <w:rsid w:val="0050638A"/>
    <w:rsid w:val="005548B3"/>
    <w:rsid w:val="00596401"/>
    <w:rsid w:val="005C5D58"/>
    <w:rsid w:val="005D1DB3"/>
    <w:rsid w:val="005E5241"/>
    <w:rsid w:val="00620DAA"/>
    <w:rsid w:val="00622D98"/>
    <w:rsid w:val="0062620A"/>
    <w:rsid w:val="006532B1"/>
    <w:rsid w:val="00673DC1"/>
    <w:rsid w:val="00680352"/>
    <w:rsid w:val="00691B0D"/>
    <w:rsid w:val="00693C7D"/>
    <w:rsid w:val="006A1818"/>
    <w:rsid w:val="006A4537"/>
    <w:rsid w:val="006C1023"/>
    <w:rsid w:val="00771BDA"/>
    <w:rsid w:val="0079736C"/>
    <w:rsid w:val="007D4218"/>
    <w:rsid w:val="007F2E66"/>
    <w:rsid w:val="00854B8D"/>
    <w:rsid w:val="008A4FE6"/>
    <w:rsid w:val="008C7094"/>
    <w:rsid w:val="008C7751"/>
    <w:rsid w:val="008E41EB"/>
    <w:rsid w:val="009258CD"/>
    <w:rsid w:val="009307AD"/>
    <w:rsid w:val="009556BB"/>
    <w:rsid w:val="00A30881"/>
    <w:rsid w:val="00A94E88"/>
    <w:rsid w:val="00AB453D"/>
    <w:rsid w:val="00B06D29"/>
    <w:rsid w:val="00B11BF0"/>
    <w:rsid w:val="00B31980"/>
    <w:rsid w:val="00B6362E"/>
    <w:rsid w:val="00BD317A"/>
    <w:rsid w:val="00C8178B"/>
    <w:rsid w:val="00C9100B"/>
    <w:rsid w:val="00CB4232"/>
    <w:rsid w:val="00CC0B34"/>
    <w:rsid w:val="00CC2B8E"/>
    <w:rsid w:val="00CE6F15"/>
    <w:rsid w:val="00CF6999"/>
    <w:rsid w:val="00D035F7"/>
    <w:rsid w:val="00D05ED9"/>
    <w:rsid w:val="00D834F3"/>
    <w:rsid w:val="00D842F1"/>
    <w:rsid w:val="00DC6482"/>
    <w:rsid w:val="00E376DA"/>
    <w:rsid w:val="00E75D0B"/>
    <w:rsid w:val="00F25395"/>
    <w:rsid w:val="00F62680"/>
    <w:rsid w:val="00FA6D51"/>
    <w:rsid w:val="00FE36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 w:type="paragraph" w:styleId="StandardWeb">
    <w:name w:val="Normal (Web)"/>
    <w:basedOn w:val="Standard"/>
    <w:uiPriority w:val="99"/>
    <w:semiHidden/>
    <w:unhideWhenUsed/>
    <w:rsid w:val="00D842F1"/>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 w:type="paragraph" w:styleId="Listenabsatz">
    <w:name w:val="List Paragraph"/>
    <w:basedOn w:val="Standard"/>
    <w:uiPriority w:val="34"/>
    <w:qFormat/>
    <w:rsid w:val="00B11BF0"/>
    <w:pPr>
      <w:spacing w:after="0" w:line="240" w:lineRule="auto"/>
      <w:ind w:left="720"/>
      <w:contextualSpacing/>
    </w:pPr>
    <w:rPr>
      <w:rFonts w:ascii="Times New Roman" w:eastAsiaTheme="minorHAnsi" w:hAnsi="Times New Roman" w:cs="Times New Roman"/>
      <w:color w:val="auto"/>
      <w:kern w:val="0"/>
      <w:sz w:val="24"/>
      <w:szCs w:val="24"/>
      <w:lang w:eastAsia="de-DE"/>
    </w:rPr>
  </w:style>
  <w:style w:type="paragraph" w:customStyle="1" w:styleId="intro">
    <w:name w:val="intro"/>
    <w:basedOn w:val="Standard"/>
    <w:rsid w:val="00B11BF0"/>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 w:type="character" w:styleId="Fett">
    <w:name w:val="Strong"/>
    <w:basedOn w:val="Absatz-Standardschriftart"/>
    <w:uiPriority w:val="22"/>
    <w:qFormat/>
    <w:rsid w:val="00B11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91274">
      <w:bodyDiv w:val="1"/>
      <w:marLeft w:val="0"/>
      <w:marRight w:val="0"/>
      <w:marTop w:val="0"/>
      <w:marBottom w:val="0"/>
      <w:divBdr>
        <w:top w:val="none" w:sz="0" w:space="0" w:color="auto"/>
        <w:left w:val="none" w:sz="0" w:space="0" w:color="auto"/>
        <w:bottom w:val="none" w:sz="0" w:space="0" w:color="auto"/>
        <w:right w:val="none" w:sz="0" w:space="0" w:color="auto"/>
      </w:divBdr>
    </w:div>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476</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9</cp:revision>
  <cp:lastPrinted>2015-12-15T07:28:00Z</cp:lastPrinted>
  <dcterms:created xsi:type="dcterms:W3CDTF">2015-12-10T11:59:00Z</dcterms:created>
  <dcterms:modified xsi:type="dcterms:W3CDTF">2015-12-17T08:58:00Z</dcterms:modified>
</cp:coreProperties>
</file>